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NormalTable"/>
        <w:name w:val="Таблица1"/>
        <w:tabOrder w:val="0"/>
        <w:jc w:val="left"/>
        <w:tblInd w:w="-108" w:type="dxa"/>
        <w:tblW w:w="10181" w:type="dxa"/>
        <w:pPr>
          <w:ind w:left="-108"/>
        </w:pPr>
        <w:tblLook w:val="04A0" w:firstRow="1" w:lastRow="0" w:firstColumn="1" w:lastColumn="0" w:noHBand="0" w:noVBand="1"/>
      </w:tblPr>
      <w:tblGrid>
        <w:gridCol w:w="1531"/>
        <w:gridCol w:w="623"/>
        <w:gridCol w:w="396"/>
        <w:gridCol w:w="1751"/>
        <w:gridCol w:w="535"/>
        <w:gridCol w:w="506"/>
        <w:gridCol w:w="580"/>
        <w:gridCol w:w="591"/>
        <w:gridCol w:w="1961"/>
        <w:gridCol w:w="1707"/>
      </w:tblGrid>
      <w:tr>
        <w:trPr>
          <w:tblHeader w:val="0"/>
          <w:cantSplit w:val="0"/>
          <w:trHeight w:val="1210" w:hRule="atLeast"/>
        </w:trPr>
        <w:tc>
          <w:tcPr>
            <w:tcW w:w="10181" w:type="dxa"/>
            <w:gridSpan w:val="10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spacing/>
              <w:jc w:val="center"/>
              <w:widowControl w:val="0"/>
              <w:rPr>
                <w:color w:val="000000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463550" cy="71564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  <a:extLst>
                              <a:ext uri="sm">
                                <sm:smNativeData xmlns:sm="sm" val="SMDATA_16_OIN1a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BAAAAAAAAAAAAAAAAAAAAAAAAAAAAAAAAAAAA2gIAAGcEAAAAAAAAAAAAAAAAAAAoAAAACAAAAAEAAAABAAAA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50" cy="715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1529" w:hRule="atLeast"/>
        </w:trPr>
        <w:tc>
          <w:tcPr>
            <w:tcW w:w="10181" w:type="dxa"/>
            <w:gridSpan w:val="10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spacing w:line="276" w:lineRule="auto"/>
              <w:jc w:val="center"/>
              <w:widowControl w:val="0"/>
              <w:rPr>
                <w:color w:val="000000"/>
              </w:rPr>
            </w:pPr>
            <w:r>
              <w:rPr>
                <w:b/>
                <w:caps/>
                <w:color w:val="000000"/>
                <w:sz w:val="28"/>
                <w:szCs w:val="28"/>
              </w:rPr>
              <w:t>КЕМЕРОВСКАЯ ОБЛАСТЬ- КУЗБАСС</w:t>
            </w:r>
            <w:r>
              <w:rPr>
                <w:color w:val="000000"/>
              </w:rPr>
            </w:r>
          </w:p>
          <w:p>
            <w:pPr>
              <w:pStyle w:val="para0"/>
              <w:spacing w:line="276" w:lineRule="auto"/>
              <w:jc w:val="center"/>
              <w:widowControl w:val="0"/>
              <w:rPr>
                <w:color w:val="000000"/>
              </w:rPr>
            </w:pPr>
            <w:r>
              <w:rPr>
                <w:b/>
                <w:caps/>
                <w:color w:val="000000"/>
                <w:sz w:val="28"/>
                <w:szCs w:val="28"/>
              </w:rPr>
              <w:t>Анжеро- Судженский городской округ</w:t>
            </w:r>
            <w:r>
              <w:rPr>
                <w:color w:val="000000"/>
              </w:rPr>
            </w:r>
          </w:p>
          <w:p>
            <w:pPr>
              <w:pStyle w:val="para0"/>
              <w:spacing w:line="276" w:lineRule="auto"/>
              <w:jc w:val="center"/>
              <w:widowControl w:val="0"/>
              <w:rPr>
                <w:color w:val="000000"/>
              </w:rPr>
            </w:pPr>
            <w:r/>
            <w:bookmarkStart w:id="0" w:name="r06"/>
            <w:r/>
            <w:r>
              <w:rPr>
                <w:b/>
                <w:caps/>
                <w:color w:val="000000"/>
                <w:sz w:val="28"/>
                <w:szCs w:val="28"/>
              </w:rPr>
              <w:t>Администрация Анжеро-Судженского</w:t>
            </w:r>
            <w:r/>
            <w:bookmarkEnd w:id="0"/>
            <w:r/>
            <w:r>
              <w:rPr>
                <w:b/>
                <w:caps/>
                <w:color w:val="000000"/>
                <w:sz w:val="28"/>
                <w:szCs w:val="28"/>
              </w:rPr>
              <w:t xml:space="preserve"> городского округа</w:t>
            </w:r>
            <w:r>
              <w:rPr>
                <w:color w:val="000000"/>
              </w:rPr>
            </w:r>
          </w:p>
          <w:p>
            <w:pPr>
              <w:pStyle w:val="para0"/>
              <w:spacing w:line="360" w:lineRule="auto"/>
              <w:jc w:val="center"/>
              <w:widowControl w:val="0"/>
              <w:rPr>
                <w:b/>
                <w:caps/>
                <w:color w:val="000000"/>
                <w:sz w:val="26"/>
                <w:szCs w:val="26"/>
              </w:rPr>
            </w:pPr>
            <w:r>
              <w:rPr>
                <w:b/>
                <w:caps/>
                <w:color w:val="000000"/>
                <w:sz w:val="26"/>
                <w:szCs w:val="26"/>
              </w:rPr>
            </w:r>
          </w:p>
        </w:tc>
      </w:tr>
      <w:tr>
        <w:trPr>
          <w:tblHeader w:val="0"/>
          <w:cantSplit w:val="0"/>
          <w:trHeight w:val="602" w:hRule="atLeast"/>
        </w:trPr>
        <w:tc>
          <w:tcPr>
            <w:tcW w:w="10181" w:type="dxa"/>
            <w:gridSpan w:val="10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spacing/>
              <w:jc w:val="center"/>
              <w:widowControl w:val="0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ПОСТАНОВЛЕНИЕ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267" w:hRule="atLeast"/>
        </w:trPr>
        <w:tc>
          <w:tcPr>
            <w:tcW w:w="10181" w:type="dxa"/>
            <w:gridSpan w:val="10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widowControl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</w:tr>
      <w:tr>
        <w:trPr>
          <w:tblHeader w:val="0"/>
          <w:cantSplit w:val="0"/>
          <w:trHeight w:val="339" w:hRule="atLeast"/>
        </w:trPr>
        <w:tc>
          <w:tcPr>
            <w:tcW w:w="1531" w:type="dxa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ind w:right="33" w:firstLine="0"/>
              <w:spacing/>
              <w:jc w:val="right"/>
              <w:widowControl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от «</w:t>
            </w:r>
            <w:r>
              <w:rPr>
                <w:color w:val="000000"/>
              </w:rPr>
            </w:r>
          </w:p>
        </w:tc>
        <w:tc>
          <w:tcPr>
            <w:tcW w:w="62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bottom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center"/>
              <w:widowControl w:val="0"/>
              <w:rPr>
                <w:color w:val="000000"/>
                <w:sz w:val="28"/>
                <w:szCs w:val="28"/>
              </w:rPr>
            </w:pPr>
            <w:r/>
            <w:bookmarkStart w:id="1" w:name="r09d"/>
            <w:r/>
            <w:bookmarkStart w:id="1" w:name="r09d"/>
            <w:r/>
            <w:bookmarkEnd w:id="1"/>
            <w:r/>
            <w:r>
              <w:rPr>
                <w:color w:val="000000"/>
                <w:sz w:val="28"/>
                <w:szCs w:val="28"/>
              </w:rPr>
              <w:t>07</w:t>
            </w:r>
          </w:p>
        </w:tc>
        <w:tc>
          <w:tcPr>
            <w:tcW w:w="396" w:type="dxa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spacing/>
              <w:jc w:val="both"/>
              <w:widowControl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</w:rPr>
            </w:r>
          </w:p>
        </w:tc>
        <w:tc>
          <w:tcPr>
            <w:tcW w:w="175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bottom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center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августа</w:t>
            </w:r>
          </w:p>
        </w:tc>
        <w:tc>
          <w:tcPr>
            <w:tcW w:w="535" w:type="dxa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ind w:right="-76" w:firstLine="0"/>
              <w:spacing/>
              <w:jc w:val="right"/>
              <w:widowControl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  <w:r>
              <w:rPr>
                <w:color w:val="000000"/>
              </w:rPr>
            </w:r>
          </w:p>
        </w:tc>
        <w:tc>
          <w:tcPr>
            <w:tcW w:w="5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bottom w:val="single" w:sz="4" w:space="0" w:color="000000" tmln="10, 20, 20, 0, 0"/>
            </w:tcBorders>
            <w:tmTcPr id="1786086200" protected="0"/>
          </w:tcPr>
          <w:p>
            <w:pPr>
              <w:pStyle w:val="para0"/>
              <w:ind w:right="-152" w:firstLine="0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580" w:type="dxa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widowControl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г.</w:t>
            </w:r>
            <w:r>
              <w:rPr>
                <w:color w:val="000000"/>
              </w:rPr>
            </w:r>
          </w:p>
        </w:tc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widowControl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</w:rPr>
            </w:r>
          </w:p>
        </w:tc>
        <w:tc>
          <w:tcPr>
            <w:tcW w:w="196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bottom w:val="single" w:sz="4" w:space="0" w:color="000000" tmln="10, 20, 20, 0, 0"/>
            </w:tcBorders>
            <w:tmTcPr id="1786086200" protected="0"/>
          </w:tcPr>
          <w:p>
            <w:pPr>
              <w:pStyle w:val="para0"/>
              <w:ind w:firstLine="708"/>
              <w:widowControl w:val="0"/>
              <w:rPr>
                <w:color w:val="000000"/>
                <w:sz w:val="28"/>
                <w:szCs w:val="28"/>
              </w:rPr>
            </w:pPr>
            <w:r/>
            <w:bookmarkStart w:id="2" w:name="r10"/>
            <w:r/>
            <w:bookmarkStart w:id="2" w:name="r10"/>
            <w:r/>
            <w:bookmarkEnd w:id="2"/>
            <w:r/>
            <w:r>
              <w:rPr>
                <w:color w:val="000000"/>
                <w:sz w:val="28"/>
                <w:szCs w:val="28"/>
              </w:rPr>
              <w:t>576</w:t>
            </w:r>
          </w:p>
        </w:tc>
        <w:tc>
          <w:tcPr>
            <w:tcW w:w="1707" w:type="dxa"/>
            <w:tcMar>
              <w:top w:w="0" w:type="dxa"/>
              <w:left w:w="108" w:type="dxa"/>
              <w:bottom w:w="0" w:type="dxa"/>
              <w:right w:w="108" w:type="dxa"/>
            </w:tcMar>
            <w:tmTcPr id="1786086200" protected="0"/>
          </w:tcPr>
          <w:p>
            <w:pPr>
              <w:pStyle w:val="para0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179" w:hRule="atLeast"/>
        </w:trPr>
        <w:tc>
          <w:tcPr>
            <w:tcW w:w="10181" w:type="dxa"/>
            <w:gridSpan w:val="10"/>
            <w:tcMar>
              <w:top w:w="0" w:type="dxa"/>
              <w:left w:w="108" w:type="dxa"/>
              <w:bottom w:w="111" w:type="dxa"/>
              <w:right w:w="108" w:type="dxa"/>
            </w:tcMar>
            <w:tmTcPr id="1786086200" protected="0"/>
          </w:tcPr>
          <w:p>
            <w:pPr>
              <w:pStyle w:val="para0"/>
              <w:spacing/>
              <w:jc w:val="center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para0"/>
              <w:spacing/>
              <w:jc w:val="center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</w:tbl>
    <w:p>
      <w:pPr>
        <w:spacing/>
        <w:jc w:val="center"/>
        <w:rPr>
          <w:b/>
          <w:color w:val="000000"/>
          <w:sz w:val="28"/>
          <w:szCs w:val="28"/>
        </w:rPr>
      </w:pPr>
      <w:r/>
      <w:bookmarkStart w:id="3" w:name="__DdeLink__4836_1800157355"/>
      <w:r/>
      <w:r>
        <w:rPr>
          <w:b/>
          <w:color w:val="000000"/>
          <w:sz w:val="28"/>
          <w:szCs w:val="28"/>
        </w:rPr>
        <w:t xml:space="preserve">О внесении изменений в постановление </w:t>
      </w:r>
      <w:r>
        <w:rPr>
          <w:b/>
          <w:color w:val="000000"/>
          <w:sz w:val="28"/>
          <w:szCs w:val="28"/>
        </w:rPr>
      </w:r>
    </w:p>
    <w:p>
      <w:pPr>
        <w: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администрации Анжеро-Судженского городского округа от 02.12.2025 № 1146 «Об утверждении муниципальной программы «Обеспечение доступным и комфортным жильём. Строительство»</w:t>
      </w:r>
    </w:p>
    <w:p>
      <w:pPr>
        <w:ind w:firstLine="567"/>
        <w: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ind w:firstLine="567"/>
        <w:spacing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Внести в муниципальную программу «Обеспечение доступным и комфортным жильём. Строительство», утверждённую постановлением администрации Анжеро-Судженского городского округа от 02.12.2025 № 1146 (в редакции постановлений от 30.01.2026 года № 39, от 10.06.2026 года № 426), следующие изменения:  </w:t>
      </w:r>
      <w:r/>
      <w:bookmarkStart w:id="4" w:name="__DdeLink__4477_1800157355"/>
      <w:r/>
      <w:r>
        <w:rPr>
          <w:b/>
          <w:bCs/>
          <w:color w:val="000000"/>
          <w:sz w:val="28"/>
          <w:szCs w:val="28"/>
        </w:rPr>
      </w:r>
    </w:p>
    <w:p>
      <w:pPr>
        <w:ind w:firstLine="567"/>
        <w: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В Паспорте муниципальной программы «Обеспечение доступным и комфортным жильём. Строительство», являющийся Приложением 2 к муниципальной программе, изложить в новой редакции согласно приложению 1 к настоящему постановлению:</w:t>
      </w:r>
    </w:p>
    <w:p>
      <w:pPr>
        <w:ind w:firstLine="567"/>
        <w: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3. Структура муниципальной программы.</w:t>
      </w:r>
    </w:p>
    <w:p>
      <w:pPr>
        <w:ind w:firstLine="567"/>
        <w: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4. Финансовое обеспечение муниципальной программы.</w:t>
      </w:r>
    </w:p>
    <w:p>
      <w:pPr>
        <w:ind w:firstLine="567"/>
        <w: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В Паспорте муниципального проекта "Строительство новой блочно- модульной угольной котельной г. Анжеро-Судженск ул. Тырганская», являющийся Приложением 3 к муниципальной программе, изложить в новой редакции согласно приложению 2 к настоящему постановлению:</w:t>
      </w:r>
    </w:p>
    <w:p>
      <w:pPr>
        <w:ind w:firstLine="567"/>
        <w: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1. Общие положения.</w:t>
      </w:r>
    </w:p>
    <w:p>
      <w:pPr>
        <w:ind w:firstLine="567"/>
        <w:spacing/>
        <w:jc w:val="both"/>
        <w:tabs defTabSz="708">
          <w:tab w:val="left" w:pos="850" w:leader="none"/>
        </w:tabs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1.3. В Паспорте комплекса процессных мероприятий «Обеспечение жильём молодых семей», являющийся Приложением 5 к муниципальной программе, изложить в новой редакции согласно приложению 3 к настоящему постановлению:</w:t>
      </w:r>
      <w:r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</w:r>
    </w:p>
    <w:p>
      <w:pPr>
        <w:ind w:firstLine="567"/>
        <w:spacing/>
        <w:jc w:val="both"/>
        <w:tabs defTabSz="708">
          <w:tab w:val="left" w:pos="85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5. Финансовое обеспечение комплекса процессных мероприятий.</w:t>
      </w:r>
      <w:r/>
      <w:bookmarkEnd w:id="3"/>
      <w:r/>
      <w:r>
        <w:rPr>
          <w:color w:val="000000"/>
          <w:sz w:val="28"/>
          <w:szCs w:val="28"/>
        </w:rPr>
      </w:r>
    </w:p>
    <w:p>
      <w:pPr>
        <w:ind w:firstLine="567"/>
        <w: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Ответственному исполнителю муниципальной программы «Обеспечение доступным и комфортным жильём. Строительство» разместить настоящее постановление в течение 10 дней со дня его подписания в информационно– телекоммуникационной сети «Интернет» на официальных сайтах:</w:t>
      </w:r>
    </w:p>
    <w:p>
      <w:pPr>
        <w:ind w:firstLine="567"/>
        <w:spacing/>
        <w:jc w:val="both"/>
        <w:tabs defTabSz="708">
          <w:tab w:val="left" w:pos="-6663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Министерства экономического развития Российской Федерации, внесение изменений в федеральный государственный реестр документов стратегического планирования посредством заполнения электронных форм уведомлений в государственной автоматизированной системе «Управление», электронный адрес: http://gasu.gov.ru;</w:t>
      </w:r>
    </w:p>
    <w:p>
      <w:pPr>
        <w:ind w:firstLine="567"/>
        <w:spacing/>
        <w:jc w:val="both"/>
        <w:tabs defTabSz="708">
          <w:tab w:val="left" w:pos="-6663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Анжеро-Судженского городского округа, электронный адрес: </w:t>
      </w:r>
      <w:hyperlink r:id="rId9" w:history="1">
        <w:r>
          <w:rPr>
            <w:rStyle w:val="char1"/>
            <w:color w:val="000000"/>
            <w:sz w:val="28"/>
            <w:szCs w:val="28"/>
            <w:lang w:val="en-us"/>
          </w:rPr>
          <w:t>www</w:t>
        </w:r>
        <w:r>
          <w:rPr>
            <w:rStyle w:val="char1"/>
            <w:color w:val="000000"/>
            <w:sz w:val="28"/>
            <w:szCs w:val="28"/>
          </w:rPr>
          <w:t>.</w:t>
        </w:r>
        <w:r>
          <w:rPr>
            <w:rStyle w:val="char1"/>
            <w:color w:val="000000"/>
            <w:sz w:val="28"/>
            <w:szCs w:val="28"/>
            <w:lang w:val="en-us"/>
          </w:rPr>
          <w:t>anzhero</w:t>
        </w:r>
        <w:r>
          <w:rPr>
            <w:rStyle w:val="char1"/>
            <w:color w:val="000000"/>
            <w:sz w:val="28"/>
            <w:szCs w:val="28"/>
          </w:rPr>
          <w:t>.</w:t>
        </w:r>
        <w:r>
          <w:rPr>
            <w:rStyle w:val="char1"/>
            <w:color w:val="000000"/>
            <w:sz w:val="28"/>
            <w:szCs w:val="28"/>
            <w:lang w:val="en-us"/>
          </w:rPr>
          <w:t>ru</w:t>
        </w:r>
      </w:hyperlink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</w:r>
    </w:p>
    <w:p>
      <w:pPr>
        <w:ind w:firstLine="567"/>
        <w:spacing/>
        <w:jc w:val="both"/>
        <w:tabs defTabSz="708">
          <w:tab w:val="left" w:pos="-6663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Настоящее постановление подлежит опубликованию в массовой газете Анжеро- Судженского городского округа «Наш город».</w:t>
      </w:r>
    </w:p>
    <w:p>
      <w:pPr>
        <w:ind w:firstLine="567"/>
        <w:spacing/>
        <w:jc w:val="both"/>
        <w:tabs defTabSz="708">
          <w:tab w:val="left" w:pos="-6663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Контроль за исполнением настоящего постановления возложить на первого      заместителя главы городского округа по вопросам безопасности, строительства и жилищной политики.</w:t>
      </w:r>
    </w:p>
    <w:p>
      <w:pPr>
        <w:ind w:firstLine="567"/>
        <w: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Постановление вступает в силу после официального опубликования.</w:t>
      </w:r>
    </w:p>
    <w:p>
      <w:pPr>
        <w:ind w:firstLine="567"/>
        <w:spacing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2" behindDoc="1" locked="0" layoutInCell="0" hidden="0" allowOverlap="1">
            <wp:simplePos x="0" y="0"/>
            <wp:positionH relativeFrom="page">
              <wp:posOffset>3310890</wp:posOffset>
            </wp:positionH>
            <wp:positionV relativeFrom="page">
              <wp:posOffset>3406140</wp:posOffset>
            </wp:positionV>
            <wp:extent cx="1390650" cy="1390650"/>
            <wp:effectExtent l="0" t="0" r="0" b="0"/>
            <wp:wrapNone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/>
                      <a:extLst>
                        <a:ext uri="sm">
                          <sm:smNativeData xmlns:sm="sm" val="SMDATA_16_OIN1a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SAAAAAAAAAAAAAAAAAAAAAQAAAAAAAABeFAAAAQAAAAAAAAD0FAAAjggAAI4IAAABAAAAXhQAAPQUAAAoAAAACAAAAAEAAAABAAAA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</w:r>
    </w:p>
    <w:p>
      <w:pPr>
        <w:ind w:firstLine="567"/>
        <w: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городского округа</w:t>
        <w:tab/>
        <w:tab/>
        <w:tab/>
        <w:tab/>
        <w:tab/>
        <w:t xml:space="preserve">                          Д.В. Ажичаков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11"/>
          <w:footerReference w:type="first" r:id="rId12"/>
          <w:type w:val="nextPage"/>
          <w:pgSz w:h="16838" w:w="11906"/>
          <w:pgMar w:left="1134" w:top="1134" w:right="681" w:bottom="1134" w:header="426"/>
          <w:paperSrc w:first="0" w:other="0" a="0" b="0"/>
          <w:pgNumType w:fmt="decimal"/>
          <w:titlePg/>
          <w:tmGutter w:val="1"/>
          <w:mirrorMargins w:val="0"/>
          <w:tmSection w:h="-1">
            <w:tmHeader w:id="0" w:h="0" edge="426" text="0">
              <w:shd w:val="none"/>
            </w:tmHeader>
            <w:tmFooter w:id="2" w:h="0" edge="720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7"/>
        <w:ind w:left="3120"/>
        <w:spacing w:before="0" w:after="0" w:line="240" w:lineRule="auto"/>
        <w:jc w:val="righ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ascii="PT Astra Serif" w:hAnsi="PT Astra Serif" w:cs="Calibri"/>
          <w:color w:val="000000"/>
          <w:sz w:val="24"/>
          <w:szCs w:val="24"/>
        </w:rPr>
      </w:pPr>
      <w:r>
        <w:br w:type="page"/>
      </w:r>
      <w:r/>
      <w:bookmarkStart w:id="5" w:name="__DdeLink__5535_857802040_Копия_2"/>
      <w:r/>
      <w:bookmarkEnd w:id="5"/>
      <w:r/>
      <w:r>
        <w:rPr>
          <w:rFonts w:ascii="PT Astra Serif" w:hAnsi="PT Astra Serif" w:cs="Calibri"/>
          <w:color w:val="000000"/>
          <w:sz w:val="24"/>
          <w:szCs w:val="24"/>
        </w:rPr>
        <w:t xml:space="preserve">Приложение </w:t>
      </w:r>
      <w:r>
        <w:rPr>
          <w:rFonts w:ascii="PT Astra Serif" w:hAnsi="PT Astra Serif" w:cs="Calibri"/>
          <w:color w:val="000000"/>
          <w:sz w:val="24"/>
          <w:szCs w:val="24"/>
        </w:rPr>
        <w:t>№1</w:t>
      </w:r>
      <w:r>
        <w:rPr>
          <w:rFonts w:ascii="PT Astra Serif" w:hAnsi="PT Astra Serif" w:cs="Calibri"/>
          <w:color w:val="000000"/>
          <w:sz w:val="24"/>
          <w:szCs w:val="24"/>
        </w:rPr>
      </w:r>
    </w:p>
    <w:p>
      <w:pPr>
        <w:pStyle w:val="para32"/>
        <w:spacing/>
        <w:jc w:val="right"/>
        <w:outlineLvl w:val="2"/>
        <w:tabs defTabSz="708">
          <w:tab w:val="left" w:pos="15250" w:leader="none"/>
        </w:tabs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к постановлению Анжеро-Судженского городского округа</w:t>
      </w:r>
    </w:p>
    <w:p>
      <w:pPr>
        <w:pStyle w:val="para32"/>
        <w:spacing/>
        <w:jc w:val="right"/>
        <w:outlineLvl w:val="2"/>
        <w:tabs defTabSz="708">
          <w:tab w:val="left" w:pos="15250" w:leader="none"/>
        </w:tabs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 xml:space="preserve">от 07 августа 2026 г. Приложение № 2 </w:t>
      </w:r>
    </w:p>
    <w:p>
      <w:pPr>
        <w:pStyle w:val="para32"/>
        <w:spacing/>
        <w:jc w:val="right"/>
        <w:outlineLvl w:val="2"/>
        <w:tabs defTabSz="708">
          <w:tab w:val="left" w:pos="15250" w:leader="none"/>
        </w:tabs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 xml:space="preserve">к муниципальной программе </w:t>
      </w:r>
    </w:p>
    <w:p>
      <w:pPr>
        <w:pStyle w:val="para32"/>
        <w:spacing/>
        <w:jc w:val="right"/>
        <w:outlineLvl w:val="2"/>
        <w:tabs defTabSz="708">
          <w:tab w:val="left" w:pos="15250" w:leader="none"/>
        </w:tabs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Анжеро-Судженского городского округа</w:t>
      </w:r>
    </w:p>
    <w:p>
      <w:pPr>
        <w:pStyle w:val="para32"/>
        <w:spacing/>
        <w:jc w:val="center"/>
        <w:outlineLvl w:val="2"/>
        <w:tabs defTabSz="708">
          <w:tab w:val="left" w:pos="15250" w:leader="none"/>
        </w:tabs>
        <w:rPr>
          <w:color w:val="000000"/>
        </w:rPr>
      </w:pPr>
      <w:r>
        <w:rPr>
          <w:color w:val="000000"/>
        </w:rPr>
      </w:r>
    </w:p>
    <w:p>
      <w:pPr>
        <w:pStyle w:val="para32"/>
        <w:spacing/>
        <w:jc w:val="center"/>
        <w:outlineLvl w:val="2"/>
        <w:tabs defTabSz="708">
          <w:tab w:val="left" w:pos="15250" w:leader="none"/>
        </w:tabs>
        <w:rPr>
          <w:rFonts w:ascii="Times New Roman" w:hAnsi="Times New Roman" w:cs="Times New Roman"/>
          <w:bCs/>
          <w:color w:val="000000"/>
          <w:sz w:val="28"/>
          <w:szCs w:val="28"/>
        </w:rPr>
      </w:pPr>
      <w:r/>
      <w:bookmarkStart w:id="6" w:name="__DdeLink__4849_1800157355"/>
      <w:r/>
      <w:bookmarkEnd w:id="6"/>
      <w:r/>
      <w:bookmarkStart w:id="7" w:name="__DdeLink__4864_1800157355"/>
      <w:r/>
      <w:r>
        <w:rPr>
          <w:rFonts w:ascii="Times New Roman" w:hAnsi="Times New Roman" w:cs="Times New Roman"/>
          <w:bCs/>
          <w:color w:val="000000"/>
          <w:sz w:val="28"/>
          <w:szCs w:val="28"/>
        </w:rPr>
        <w:t>3. Структура муниципальной программы.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</w:r>
    </w:p>
    <w:tbl>
      <w:tblPr>
        <w:tblStyle w:val="TableNormal"/>
        <w:name w:val="Таблица70"/>
        <w:tabOrder w:val="0"/>
        <w:jc w:val="center"/>
        <w:tblInd w:w="0" w:type="dxa"/>
        <w:tblW w:w="14570" w:type="dxa"/>
        <w:pPr>
          <w:spacing/>
          <w:jc w:val="center"/>
          <w:tabs defTabSz="708">
            <w:tab w:val="left" w:pos="6195" w:leader="none"/>
            <w:tab w:val="left" w:pos="7065" w:leader="none"/>
          </w:tabs>
        </w:pPr>
        <w:tblLook w:val="0600" w:firstRow="0" w:lastRow="0" w:firstColumn="0" w:lastColumn="0" w:noHBand="1" w:noVBand="1"/>
      </w:tblPr>
      <w:tblGrid>
        <w:gridCol w:w="557"/>
        <w:gridCol w:w="5584"/>
        <w:gridCol w:w="6068"/>
        <w:gridCol w:w="2361"/>
      </w:tblGrid>
      <w:tr>
        <w:trPr>
          <w:tblHeader w:val="0"/>
          <w:cantSplit w:val="0"/>
          <w:trHeight w:val="0" w:hRule="auto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 п/п</w:t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структурного элемента</w:t>
            </w:r>
          </w:p>
        </w:tc>
        <w:tc>
          <w:tcPr>
            <w:tcW w:w="606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23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Связь с показателем муниципальной программы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5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0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>
        <w:trPr>
          <w:tblHeader w:val="0"/>
          <w:cantSplit w:val="0"/>
          <w:trHeight w:val="436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13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32"/>
              <w:spacing/>
              <w:jc w:val="left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Муниципальный проект "Строительство новой блочно- модульной угольной котельной г. Анжеро- Судженск ул. Тырганская»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hyphenationLines w:val="1"/>
              <w:widowControl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 бюджетное учреждение Анжеро- Судженского городского округа «Управление капитального строительства».</w:t>
            </w:r>
          </w:p>
        </w:tc>
        <w:tc>
          <w:tcPr>
            <w:tcW w:w="8429" w:type="dxa"/>
            <w:gridSpan w:val="2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 реализации с 10.10.2025г. по 25.05.2031г.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757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Задача: «Улучшение инженерной инфраструктуры»</w:t>
            </w:r>
          </w:p>
        </w:tc>
        <w:tc>
          <w:tcPr>
            <w:tcW w:w="606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Задача направлена на строительство, реконструкция и капитальный ремонт объектов коммунальной инфраструктуры.</w:t>
            </w:r>
          </w:p>
        </w:tc>
        <w:tc>
          <w:tcPr>
            <w:tcW w:w="23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населения, улучшивших свои жилищные условия.</w:t>
            </w:r>
          </w:p>
        </w:tc>
      </w:tr>
      <w:tr>
        <w:trPr>
          <w:tblHeader w:val="0"/>
          <w:cantSplit w:val="0"/>
          <w:trHeight w:val="502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4013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both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процессных мероприятий «Обеспечение жильём отдельных социально незащищённых категорий граждан, нуждающихся в улучшении жилищных условий» </w:t>
            </w:r>
            <w:hyperlink w:anchor="P1133" w:history="1"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(приложение  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к настоящей муниципальной программе)</w:t>
            </w:r>
          </w:p>
        </w:tc>
      </w:tr>
      <w:tr>
        <w:trPr>
          <w:tblHeader w:val="0"/>
          <w:cantSplit w:val="0"/>
          <w:trHeight w:val="542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hyphenationLines w:val="1"/>
              <w:widowControl w:val="0"/>
              <w:rPr>
                <w:rFonts w:ascii="Basic Roman" w:hAnsi="Basic Roman" w:eastAsia="Basic Roman" w:cs="Basic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Basic Roman" w:hAnsi="Basic Roman" w:eastAsia="Basic Roman" w:cs="Basic Roman"/>
                <w:color w:val="000000"/>
                <w:sz w:val="20"/>
                <w:szCs w:val="20"/>
                <w:lang w:eastAsia="zh-cn"/>
              </w:rPr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жилищной политики администрации Анжеро-Судженского городского округа</w:t>
            </w:r>
          </w:p>
        </w:tc>
        <w:tc>
          <w:tcPr>
            <w:tcW w:w="8429" w:type="dxa"/>
            <w:gridSpan w:val="2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 реализации 2026-2030 гг</w:t>
            </w:r>
            <w:r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1282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2.1.</w:t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both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«Улучшение жилищных условий социально незащищённых категорий граждан путём привлечения финансовых средств на приобретение жилья в рамках реализации федеральных и региональных программ»</w:t>
            </w:r>
          </w:p>
        </w:tc>
        <w:tc>
          <w:tcPr>
            <w:tcW w:w="606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Задача направлена на улучшение жилищных условий ветеранов боевых действий, инвалидов, семей, имеющих детей инвалидов, одиноких матерей, многодетных семей, детей- сирот и детей, оставшихся без попечения родителей.</w:t>
            </w:r>
          </w:p>
        </w:tc>
        <w:tc>
          <w:tcPr>
            <w:tcW w:w="23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населения, улучшивших свои жилищные условия.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013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 процессных мероприятий «Обеспечение жильём молодых семей» (</w:t>
            </w:r>
            <w:hyperlink w:anchor="P1965" w:history="1"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приложение  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к настоящей муниципальной программе)</w:t>
            </w:r>
          </w:p>
        </w:tc>
      </w:tr>
      <w:tr>
        <w:trPr>
          <w:tblHeader w:val="0"/>
          <w:cantSplit w:val="0"/>
          <w:trHeight w:val="462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жилищной политики администрации Анжеро- Судженского городского округа</w:t>
            </w:r>
          </w:p>
        </w:tc>
        <w:tc>
          <w:tcPr>
            <w:tcW w:w="8429" w:type="dxa"/>
            <w:gridSpan w:val="2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 реализации 2026-2030 гг</w:t>
            </w:r>
            <w:r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2143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</w:t>
            </w:r>
            <w:r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hyphenationLines w:val="1"/>
              <w:widowControl w:val="0"/>
              <w:rPr>
                <w:color w:val="000000"/>
              </w:rPr>
            </w:pPr>
            <w:r>
              <w:rPr>
                <w:rFonts w:ascii="Basic Roman" w:hAnsi="Basic Roman" w:eastAsia="Basic Roman" w:cs="Basic Roman"/>
                <w:color w:val="000000"/>
                <w:lang w:eastAsia="zh-cn"/>
              </w:rPr>
              <w:t xml:space="preserve">Задача </w:t>
            </w:r>
            <w:r>
              <w:rPr>
                <w:color w:val="000000"/>
              </w:rPr>
              <w:t>«Создание условий для  привлечения молодыми семьями собственных средств, финансовых средств банков и других организаций, предоставляющих ипотечные жилищные кредиты и займы для приобретения жилья и строительства индивидуального жилья».</w:t>
            </w:r>
          </w:p>
        </w:tc>
        <w:tc>
          <w:tcPr>
            <w:tcW w:w="60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</w:rPr>
            </w:pPr>
            <w:r>
              <w:rPr>
                <w:color w:val="000000"/>
              </w:rPr>
              <w:t>Задача направлена на предоставление государственной поддержки молодым семьям, нуждающимся  в улучшении жилищных условий, в соответствии с постановлением Правительства РФ от 17.12.2010 года № 1050 «О реализации отдельных мероприятий государственной программы Российской Федерации «Обеспечение доступным и комфортным жильём и  коммунальными услугами граждан Российской Федерации».</w:t>
            </w:r>
          </w:p>
        </w:tc>
        <w:tc>
          <w:tcPr>
            <w:tcW w:w="23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left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населения, улучшивших свои жилищные условия.</w:t>
            </w:r>
          </w:p>
        </w:tc>
      </w:tr>
      <w:tr>
        <w:trPr>
          <w:tblHeader w:val="0"/>
          <w:cantSplit w:val="0"/>
          <w:trHeight w:val="603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013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left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 процессных мероприятий «Переселение граждан из ветхого и аварийного жилья» (</w:t>
            </w:r>
            <w:hyperlink w:anchor="P1133" w:history="1"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приложение  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к настоящей муниципальной программе).</w:t>
            </w:r>
          </w:p>
        </w:tc>
      </w:tr>
      <w:tr>
        <w:trPr>
          <w:tblHeader w:val="0"/>
          <w:cantSplit w:val="0"/>
          <w:trHeight w:val="586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жилищной политики администрации Анжеро- Судженского городского округа.</w:t>
            </w:r>
          </w:p>
        </w:tc>
        <w:tc>
          <w:tcPr>
            <w:tcW w:w="8429" w:type="dxa"/>
            <w:gridSpan w:val="2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 реализации 2026-2030 гг</w:t>
            </w:r>
            <w:r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1313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4.1</w:t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Задача «Улучшение жилищных условий граждан, проживающих в ветхом и аварийном жилом фонде, уменьшение количества аварийного и ветхого жилого фонда».</w:t>
            </w:r>
          </w:p>
        </w:tc>
        <w:tc>
          <w:tcPr>
            <w:tcW w:w="606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Задача направлена на: 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-переселение граждан из аварийных многоквартирных домов в рамках 185- ФЗ;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-обеспечение деятельности по проведению обследования ветхого и аварийного жилого фонда.</w:t>
            </w:r>
          </w:p>
        </w:tc>
        <w:tc>
          <w:tcPr>
            <w:tcW w:w="23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left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населения, улучшивших свои жилищные условия.</w:t>
            </w:r>
          </w:p>
        </w:tc>
      </w:tr>
      <w:tr>
        <w:trPr>
          <w:tblHeader w:val="0"/>
          <w:cantSplit w:val="0"/>
          <w:trHeight w:val="333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013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 процессных мероприятий «Капитальное строительство» (</w:t>
            </w:r>
            <w:hyperlink w:anchor="P1965" w:history="1"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приложение  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к настоящей муниципальной программе).</w:t>
            </w:r>
          </w:p>
        </w:tc>
      </w:tr>
      <w:tr>
        <w:trPr>
          <w:tblHeader w:val="0"/>
          <w:cantSplit w:val="0"/>
          <w:trHeight w:val="820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 бюджетное учреждение Анжеро- Судженского городского округа «Управление капитального строительства».</w:t>
            </w:r>
          </w:p>
        </w:tc>
        <w:tc>
          <w:tcPr>
            <w:tcW w:w="8429" w:type="dxa"/>
            <w:gridSpan w:val="2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 реализации 2026-2030 гг</w:t>
            </w:r>
            <w:r>
              <w:rPr>
                <w:rFonts w:ascii="Times New Roman" w:hAnsi="Times New Roman" w:cs="Times New Roman"/>
                <w:highlight w:val="yellow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1513" w:hRule="atLeast"/>
        </w:trPr>
        <w:tc>
          <w:tcPr>
            <w:tcW w:w="5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center"/>
              <w:hyphenationLines w:val="1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558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suppressAutoHyphens/>
              <w:hyphenationLines w:val="0"/>
              <w:widowControl w:val="0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</w:rPr>
            </w:pPr>
            <w:r>
              <w:rPr>
                <w:rFonts w:ascii="Basic Roman" w:hAnsi="Basic Roman" w:eastAsia="Basic Roman" w:cs="Basic Roman"/>
                <w:color w:val="000000"/>
                <w:lang w:eastAsia="zh-cn"/>
              </w:rPr>
              <w:t xml:space="preserve">Задача </w:t>
            </w:r>
            <w:r>
              <w:rPr>
                <w:color w:val="000000"/>
              </w:rPr>
              <w:t>«Повышение уровня обеспеченности населения жильём путём увеличения объёмов жилищного строительства и улучшение инженерной инфраструктуры».</w:t>
            </w:r>
          </w:p>
        </w:tc>
        <w:tc>
          <w:tcPr>
            <w:tcW w:w="6068" w:type="dxa"/>
            <w:shd w:val="none"/>
            <w:tcMar>
              <w:top w:w="0" w:type="dxa"/>
              <w:left w:w="62" w:type="dxa"/>
              <w:bottom w:w="0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Задача направлена на: 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-стимулирование строительства жилья;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-проектирование строительства, реконструкции и капитального ремонта объектов коммунальной инфраструктуры;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-разработку проектной документации для строительства, для межевания земельного участка;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-обеспечение деятельности строительного контроля в сфере проектирования, строительства, реконструкции.</w:t>
            </w:r>
          </w:p>
        </w:tc>
        <w:tc>
          <w:tcPr>
            <w:tcW w:w="23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6086200" protected="1"/>
          </w:tcPr>
          <w:p>
            <w:pPr>
              <w:pStyle w:val="para13"/>
              <w:ind w:firstLine="0"/>
              <w:spacing/>
              <w:jc w:val="left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населения, улучшивших свои жилищные условия.</w:t>
            </w:r>
          </w:p>
        </w:tc>
      </w:tr>
    </w:tbl>
    <w:p>
      <w:pPr>
        <w:pStyle w:val="para32"/>
        <w:spacing/>
        <w:jc w:val="center"/>
        <w:outlineLvl w:val="2"/>
        <w:rPr>
          <w:color w:val="ff0000"/>
        </w:rPr>
      </w:pPr>
      <w:r>
        <w:rPr>
          <w:color w:val="ff0000"/>
        </w:rPr>
      </w:r>
    </w:p>
    <w:p>
      <w:pPr>
        <w:pStyle w:val="para32"/>
        <w:spacing/>
        <w:jc w:val="center"/>
        <w:outlineLvl w:val="2"/>
        <w:rPr>
          <w:color w:val="000000"/>
        </w:rPr>
      </w:pPr>
      <w:r>
        <w:rPr>
          <w:rFonts w:ascii="PT Astra Serif" w:hAnsi="PT Astra Serif"/>
          <w:color w:val="000000"/>
          <w:sz w:val="28"/>
          <w:szCs w:val="28"/>
        </w:rPr>
        <w:t>4. Финансовое обеспечение муниципальной программы</w:t>
      </w:r>
      <w:r/>
      <w:bookmarkEnd w:id="7"/>
      <w:r/>
      <w:r>
        <w:rPr>
          <w:color w:val="000000"/>
        </w:rPr>
        <w:t>.</w:t>
      </w:r>
      <w:r>
        <w:rPr>
          <w:color w:val="000000"/>
        </w:rPr>
      </w:r>
    </w:p>
    <w:tbl>
      <w:tblPr>
        <w:tblStyle w:val="NormalTable"/>
        <w:name w:val="Таблица7"/>
        <w:tabOrder w:val="0"/>
        <w:jc w:val="left"/>
        <w:tblInd w:w="0" w:type="dxa"/>
        <w:tblW w:w="14570" w:type="dxa"/>
        <w:tblLook w:val="04A0" w:firstRow="1" w:lastRow="0" w:firstColumn="1" w:lastColumn="0" w:noHBand="0" w:noVBand="1"/>
      </w:tblPr>
      <w:tblGrid>
        <w:gridCol w:w="7525"/>
        <w:gridCol w:w="1179"/>
        <w:gridCol w:w="1073"/>
        <w:gridCol w:w="1176"/>
        <w:gridCol w:w="1083"/>
        <w:gridCol w:w="1028"/>
        <w:gridCol w:w="1506"/>
      </w:tblGrid>
      <w:tr>
        <w:trPr>
          <w:tblHeader w:val="0"/>
          <w:cantSplit w:val="0"/>
          <w:trHeight w:val="0" w:hRule="auto"/>
        </w:trPr>
        <w:tc>
          <w:tcPr>
            <w:tcW w:w="752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center"/>
              <w:widowControl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Наименование</w:t>
            </w:r>
            <w:r>
              <w:rPr>
                <w:color w:val="000000"/>
                <w:spacing w:val="-6" w:percent="95"/>
                <w:lang w:eastAsia="zh-cn"/>
              </w:rPr>
              <w:t xml:space="preserve"> </w:t>
            </w:r>
            <w:r>
              <w:rPr>
                <w:color w:val="000000"/>
                <w:lang w:eastAsia="zh-cn"/>
              </w:rPr>
              <w:t>муниципальной программы, структурного элемента</w:t>
            </w:r>
            <w:r>
              <w:rPr>
                <w:color w:val="000000"/>
                <w:spacing w:val="-2" w:percent="98"/>
                <w:lang w:eastAsia="zh-cn"/>
              </w:rPr>
              <w:t xml:space="preserve">/ </w:t>
            </w:r>
            <w:r>
              <w:rPr>
                <w:color w:val="000000"/>
                <w:lang w:eastAsia="zh-cn"/>
              </w:rPr>
              <w:t>источника</w:t>
            </w:r>
            <w:r>
              <w:rPr>
                <w:color w:val="000000"/>
                <w:spacing w:val="-6" w:percent="95"/>
                <w:lang w:eastAsia="zh-cn"/>
              </w:rPr>
              <w:t xml:space="preserve"> </w:t>
            </w:r>
            <w:r>
              <w:rPr>
                <w:color w:val="000000"/>
                <w:lang w:eastAsia="zh-cn"/>
              </w:rPr>
              <w:t>финансового обеспечения</w:t>
            </w:r>
          </w:p>
        </w:tc>
        <w:tc>
          <w:tcPr>
            <w:tcW w:w="7045" w:type="dxa"/>
            <w:gridSpan w:val="6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финансового обеспечения по годам реализации, тыс. рублей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52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/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2026г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2027г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2028г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2029г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2030г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</w:tr>
      <w:tr>
        <w:trPr>
          <w:tblHeader w:val="0"/>
          <w:cantSplit w:val="0"/>
          <w:trHeight w:val="298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center"/>
              <w:widowContro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left"/>
              <w:widowControl w:val="0"/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«Обеспечение доступным и комфортным жильём. Строительство» (всего), в том числе: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77 858,6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72 556,3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74 115,6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224 530,5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Федеральный бюджет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27 690,1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26 443,0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30 691,0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84 824,1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35 014,4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33 425,6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33 425,6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101 865,6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13 154,1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10 687,7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7 999,0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31 840,8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2 000,0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2 000,0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2 000,0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</w:t>
            </w:r>
          </w:p>
        </w:tc>
      </w:tr>
      <w:tr>
        <w:trPr>
          <w:tblHeader w:val="0"/>
          <w:cantSplit w:val="0"/>
          <w:trHeight w:val="755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 w:after="0" w:line="240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1. Комплекс процессных мероприятий</w:t>
            </w:r>
            <w:r>
              <w:rPr>
                <w:color w:val="000000"/>
              </w:rPr>
              <w:t xml:space="preserve"> «Обеспечение жильём отдельных социально незащищённых категорий граждан, нуждающихся в улучшении жилищных условий» </w:t>
            </w:r>
            <w:r>
              <w:rPr>
                <w:bCs/>
                <w:color w:val="000000"/>
              </w:rPr>
              <w:t>(всего), в том числе:</w:t>
            </w:r>
            <w:r>
              <w:rPr>
                <w:bCs/>
                <w:color w:val="000000"/>
              </w:rPr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59 417,9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59 868,6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64 116,6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183 403,1</w:t>
            </w:r>
          </w:p>
        </w:tc>
      </w:tr>
      <w:tr>
        <w:trPr>
          <w:tblHeader w:val="0"/>
          <w:cantSplit w:val="0"/>
          <w:trHeight w:val="332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Федеральный бюджет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27 431,0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26 443,0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30 691,0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84 565,0</w:t>
            </w:r>
          </w:p>
        </w:tc>
      </w:tr>
      <w:tr>
        <w:trPr>
          <w:tblHeader w:val="0"/>
          <w:cantSplit w:val="0"/>
          <w:trHeight w:val="332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31 986,9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33 425,6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33 425,6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98 838,1</w:t>
            </w:r>
          </w:p>
        </w:tc>
      </w:tr>
      <w:tr>
        <w:trPr>
          <w:tblHeader w:val="0"/>
          <w:cantSplit w:val="0"/>
          <w:trHeight w:val="755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left"/>
              <w:widowControl w:val="0"/>
              <w:rPr>
                <w:bCs/>
                <w:color w:val="000000"/>
              </w:rPr>
            </w:pPr>
            <w:r>
              <w:rPr>
                <w:rFonts w:ascii="PT Astra Serif" w:hAnsi="PT Astra Serif"/>
                <w:color w:val="000000"/>
                <w:lang w:eastAsia="zh-cn"/>
              </w:rPr>
              <w:t xml:space="preserve">2. </w:t>
            </w:r>
            <w:r>
              <w:rPr>
                <w:bCs/>
                <w:color w:val="000000"/>
              </w:rPr>
              <w:t>Комплекс процессных мероприятий «</w:t>
            </w:r>
            <w:r>
              <w:rPr>
                <w:bCs/>
                <w:color w:val="000000"/>
              </w:rPr>
              <w:t>Обеспечение жильём молодых семей</w:t>
            </w:r>
            <w:r>
              <w:rPr>
                <w:bCs/>
                <w:color w:val="000000"/>
              </w:rPr>
              <w:t>» (всего), в том числе:</w:t>
            </w:r>
            <w:r>
              <w:rPr>
                <w:bCs/>
                <w:color w:val="000000"/>
              </w:rPr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1 951,9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694,0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427,5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3 073,4</w:t>
            </w:r>
          </w:p>
        </w:tc>
      </w:tr>
      <w:tr>
        <w:trPr>
          <w:tblHeader w:val="0"/>
          <w:cantSplit w:val="0"/>
          <w:trHeight w:val="495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Федеральный бюджет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259,1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259,1</w:t>
            </w:r>
          </w:p>
        </w:tc>
      </w:tr>
      <w:tr>
        <w:trPr>
          <w:tblHeader w:val="0"/>
          <w:cantSplit w:val="0"/>
          <w:trHeight w:val="455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1 223,9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1 223,9</w:t>
            </w:r>
          </w:p>
        </w:tc>
      </w:tr>
      <w:tr>
        <w:trPr>
          <w:tblHeader w:val="0"/>
          <w:cantSplit w:val="0"/>
          <w:trHeight w:val="485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468,9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694,0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427,5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1 590,4</w:t>
            </w:r>
          </w:p>
        </w:tc>
      </w:tr>
      <w:tr>
        <w:trPr>
          <w:tblHeader w:val="0"/>
          <w:cantSplit w:val="0"/>
          <w:trHeight w:val="485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 w:after="0" w:line="240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3. Комплекс процессных мероприятий «Переселение граждан из ветхого и аварийного жилья» (всего), в том числе: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2 033,6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2 183,6</w:t>
            </w:r>
          </w:p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485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1 803,6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1 803,6</w:t>
            </w:r>
          </w:p>
        </w:tc>
      </w:tr>
      <w:tr>
        <w:trPr>
          <w:tblHeader w:val="0"/>
          <w:cantSplit w:val="0"/>
          <w:trHeight w:val="372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230,0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</w:tc>
      </w:tr>
      <w:tr>
        <w:trPr>
          <w:tblHeader w:val="0"/>
          <w:cantSplit w:val="0"/>
          <w:trHeight w:val="755" w:hRule="atLeast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left"/>
              <w:widowContro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Комплекс процессных мероприятий «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Капитальное строительство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 (всего), в том числе: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14 455,2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11 893,7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9 521,5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35 870,4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12 455,2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9 893,7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7 521,5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29 870,4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5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2 000,0</w:t>
            </w:r>
          </w:p>
        </w:tc>
        <w:tc>
          <w:tcPr>
            <w:tcW w:w="107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2 000,0</w:t>
            </w:r>
          </w:p>
        </w:tc>
        <w:tc>
          <w:tcPr>
            <w:tcW w:w="117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2 000,0</w:t>
            </w:r>
          </w:p>
        </w:tc>
        <w:tc>
          <w:tcPr>
            <w:tcW w:w="108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</w:t>
            </w:r>
          </w:p>
        </w:tc>
      </w:tr>
    </w:tbl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13"/>
        <w:ind w:firstLine="0"/>
        <w:spacing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Приложение №2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к постановлению Анжеро-Судженского городского округа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от 07 августа 2026г.  №  576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 xml:space="preserve">Приложение № 3 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 xml:space="preserve">к муниципальной программе 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Анжеро-Судженского городского округа</w:t>
      </w:r>
    </w:p>
    <w:p>
      <w:pPr>
        <w:pStyle w:val="para32"/>
        <w:spacing/>
        <w:jc w:val="center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para32"/>
        <w:spacing/>
        <w:jc w:val="center"/>
        <w:rPr>
          <w:color w:val="000000"/>
        </w:rPr>
      </w:pPr>
      <w:r>
        <w:rPr>
          <w:rFonts w:ascii="PT Astra Serif" w:hAnsi="PT Astra Serif"/>
          <w:color w:val="000000"/>
          <w:sz w:val="28"/>
          <w:szCs w:val="28"/>
        </w:rPr>
        <w:t>ПАСПОРТ</w:t>
      </w:r>
      <w:r>
        <w:rPr>
          <w:color w:val="000000"/>
        </w:rPr>
      </w:r>
    </w:p>
    <w:p>
      <w:pPr>
        <w:pStyle w:val="para32"/>
        <w:spacing/>
        <w:jc w:val="center"/>
        <w:rPr>
          <w:rFonts w:ascii="PT Astra Serif" w:hAnsi="PT Astra Serif"/>
          <w:color w:val="333333"/>
          <w:sz w:val="28"/>
          <w:szCs w:val="28"/>
        </w:rPr>
      </w:pPr>
      <w:r>
        <w:rPr>
          <w:rFonts w:ascii="PT Astra Serif" w:hAnsi="PT Astra Serif"/>
          <w:color w:val="333333"/>
          <w:sz w:val="28"/>
          <w:szCs w:val="28"/>
        </w:rPr>
        <w:t>Муниципального проекта</w:t>
      </w:r>
    </w:p>
    <w:p>
      <w:pPr>
        <w:spacing/>
        <w:jc w:val="center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28"/>
          <w:szCs w:val="28"/>
        </w:rPr>
        <w:t>"Строительство новой блочно- модульной угольной котельной г. Анжеро- Судженск ул. Тырганская</w:t>
      </w:r>
      <w:r>
        <w:rPr>
          <w:b/>
          <w:bCs/>
          <w:color w:val="333333"/>
          <w:sz w:val="32"/>
          <w:szCs w:val="32"/>
        </w:rPr>
        <w:t>»</w:t>
      </w:r>
      <w:r>
        <w:rPr>
          <w:b/>
          <w:bCs/>
          <w:color w:val="333333"/>
          <w:sz w:val="32"/>
          <w:szCs w:val="32"/>
        </w:rPr>
      </w:r>
    </w:p>
    <w:p>
      <w:pPr>
        <w:pStyle w:val="para32"/>
        <w:spacing/>
        <w:jc w:val="center"/>
        <w:rPr>
          <w:rFonts w:ascii="PT Astra Serif" w:hAnsi="PT Astra Serif"/>
          <w:color w:val="333333"/>
          <w:sz w:val="28"/>
          <w:szCs w:val="28"/>
        </w:rPr>
      </w:pPr>
      <w:r>
        <w:rPr>
          <w:rFonts w:ascii="PT Astra Serif" w:hAnsi="PT Astra Serif"/>
          <w:color w:val="333333"/>
          <w:sz w:val="28"/>
          <w:szCs w:val="28"/>
        </w:rPr>
        <w:t>1. Общие положения</w:t>
      </w:r>
    </w:p>
    <w:tbl>
      <w:tblPr>
        <w:tblStyle w:val="NormalTable"/>
        <w:name w:val="Таблица68"/>
        <w:tabOrder w:val="0"/>
        <w:jc w:val="center"/>
        <w:tblInd w:w="0" w:type="dxa"/>
        <w:tblW w:w="14405" w:type="dxa"/>
        <w:pPr>
          <w:pStyle w:val="para32"/>
          <w:spacing/>
          <w:jc w:val="center"/>
          <w:rPr>
            <w:rFonts w:ascii="Times New Roman" w:hAnsi="Times New Roman" w:cs="Times New Roman"/>
            <w:b w:val="0"/>
            <w:sz w:val="24"/>
            <w:szCs w:val="24"/>
          </w:rPr>
        </w:pPr>
        <w:tblLook w:val="04A0" w:firstRow="1" w:lastRow="0" w:firstColumn="1" w:lastColumn="0" w:noHBand="0" w:noVBand="1"/>
      </w:tblPr>
      <w:tblGrid>
        <w:gridCol w:w="5748"/>
        <w:gridCol w:w="3146"/>
        <w:gridCol w:w="2857"/>
        <w:gridCol w:w="1287"/>
        <w:gridCol w:w="1367"/>
      </w:tblGrid>
      <w:tr>
        <w:trPr>
          <w:tblHeader w:val="0"/>
          <w:cantSplit w:val="0"/>
          <w:trHeight w:val="0" w:hRule="auto"/>
        </w:trPr>
        <w:tc>
          <w:tcPr>
            <w:tcW w:w="574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 w:before="0" w:after="0" w:line="240" w:lineRule="auto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Краткое наименование муниципального проекта</w:t>
            </w:r>
          </w:p>
        </w:tc>
        <w:tc>
          <w:tcPr>
            <w:tcW w:w="314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left"/>
              <w:rPr>
                <w:color w:val="000000"/>
              </w:rPr>
            </w:pPr>
            <w:r>
              <w:rPr>
                <w:color w:val="000000"/>
              </w:rPr>
              <w:t>Строительство новой блочно- модульной угольной котельной г. Анжеро- Судженск ул. Тырганская</w:t>
            </w:r>
          </w:p>
        </w:tc>
        <w:tc>
          <w:tcPr>
            <w:tcW w:w="2857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8"/>
              <w:spacing w:before="0" w:after="0" w:line="240" w:lineRule="auto"/>
              <w:jc w:val="left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реализации проекта</w:t>
            </w:r>
          </w:p>
        </w:tc>
        <w:tc>
          <w:tcPr>
            <w:tcW w:w="1287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8"/>
              <w:spacing w:before="0" w:after="0" w:line="240" w:lineRule="auto"/>
              <w:jc w:val="left"/>
              <w:widowContro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10.10.2025г.</w:t>
            </w:r>
          </w:p>
        </w:tc>
        <w:tc>
          <w:tcPr>
            <w:tcW w:w="1367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8"/>
              <w:spacing w:before="0" w:after="0" w:line="240" w:lineRule="auto"/>
              <w:jc w:val="left"/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25.05.2031г.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4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 w:before="0" w:after="0" w:line="240" w:lineRule="auto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проекта</w:t>
            </w:r>
          </w:p>
        </w:tc>
        <w:tc>
          <w:tcPr>
            <w:tcW w:w="314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8"/>
              <w:spacing w:before="0" w:after="0" w:line="240" w:lineRule="auto"/>
              <w:jc w:val="left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Жогаль Евгений Аликович</w:t>
            </w:r>
          </w:p>
        </w:tc>
        <w:tc>
          <w:tcPr>
            <w:tcW w:w="551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8"/>
              <w:spacing w:before="0" w:after="0" w:line="240" w:lineRule="auto"/>
              <w:jc w:val="left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Первый заместитель главы городского округа по вопросам безопасности, строительства и жилищной политики</w:t>
            </w:r>
          </w:p>
        </w:tc>
      </w:tr>
      <w:tr>
        <w:trPr>
          <w:tblHeader w:val="0"/>
          <w:cantSplit w:val="0"/>
          <w:trHeight w:val="850" w:hRule="atLeast"/>
        </w:trPr>
        <w:tc>
          <w:tcPr>
            <w:tcW w:w="574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</w:tcBorders>
            <w:tmTcPr id="1786086200" protected="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Руководитель проекта (соисполнитель муниципальной программы)</w:t>
            </w:r>
          </w:p>
        </w:tc>
        <w:tc>
          <w:tcPr>
            <w:tcW w:w="314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Мерзлякова Ольга Ивановна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51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32"/>
              <w:spacing/>
              <w:jc w:val="left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Временно исполняющий обязанности начальника муниципального бюджетного учреждения Анжеро- Судженского городского округа «Управление капитального строительства»</w:t>
            </w:r>
          </w:p>
        </w:tc>
      </w:tr>
      <w:tr>
        <w:trPr>
          <w:tblHeader w:val="0"/>
          <w:cantSplit w:val="0"/>
          <w:trHeight w:val="850" w:hRule="atLeast"/>
        </w:trPr>
        <w:tc>
          <w:tcPr>
            <w:tcW w:w="574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32"/>
              <w:spacing/>
              <w:jc w:val="left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Администратор проекта</w:t>
            </w:r>
          </w:p>
        </w:tc>
        <w:tc>
          <w:tcPr>
            <w:tcW w:w="314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Мерзлякова Ольга Ивановна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51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32"/>
              <w:spacing/>
              <w:jc w:val="left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Временно исполняющий обязанности начальника муниципального бюджетного учреждения Анжеро- Судженского городского округа «Управление капитального строительства»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4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 w:after="0" w:line="240" w:lineRule="auto"/>
              <w:widowControl w:val="0"/>
              <w:rPr>
                <w:color w:val="000000"/>
              </w:rPr>
            </w:pPr>
            <w:r>
              <w:rPr>
                <w:color w:val="000000"/>
              </w:rPr>
              <w:t>Связь с государственными программой (комплексными программами) Российской Федерации и государственными программами (комплексными программами) Кемеровской области- Кузбасса</w:t>
            </w:r>
          </w:p>
        </w:tc>
        <w:tc>
          <w:tcPr>
            <w:tcW w:w="3146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32"/>
              <w:spacing/>
              <w:jc w:val="left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Государственная программа Кемеровской области- Кузбасса</w:t>
            </w:r>
          </w:p>
        </w:tc>
        <w:tc>
          <w:tcPr>
            <w:tcW w:w="551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32"/>
              <w:spacing/>
              <w:jc w:val="left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Развитие жилищно- коммунального  и дорожного комплекса Кузбасса</w:t>
            </w:r>
          </w:p>
        </w:tc>
      </w:tr>
    </w:tbl>
    <w:p>
      <w:pPr>
        <w:pStyle w:val="para32"/>
        <w:spacing/>
        <w:jc w:val="center"/>
      </w:pPr>
      <w:bookmarkStart w:id="8" w:name="P1965"/>
      <w:r/>
      <w:bookmarkEnd w:id="8"/>
      <w:r/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Приложение № 3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к постановлению Анжеро-Судженского городского округа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от 07 августа 2026г.  № 576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 xml:space="preserve">Приложение № 5 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 xml:space="preserve">к муниципальной программе </w:t>
      </w:r>
    </w:p>
    <w:p>
      <w:pPr>
        <w:pStyle w:val="para32"/>
        <w:spacing/>
        <w:jc w:val="right"/>
        <w:outlineLvl w:val="2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  <w:t>Анжеро-Судженского городского округа</w:t>
      </w:r>
    </w:p>
    <w:p>
      <w:pPr>
        <w:pStyle w:val="para32"/>
        <w:spacing/>
        <w:jc w:val="center"/>
        <w:outlineLvl w:val="2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</w:r>
    </w:p>
    <w:p>
      <w:pPr>
        <w:pStyle w:val="para32"/>
        <w:spacing/>
        <w:jc w:val="center"/>
        <w:outlineLvl w:val="2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5. Финансовое обеспечение комплекса процессных мероприятий</w:t>
      </w:r>
    </w:p>
    <w:tbl>
      <w:tblPr>
        <w:tblStyle w:val="NormalTable"/>
        <w:name w:val="Таблица18"/>
        <w:tabOrder w:val="0"/>
        <w:jc w:val="left"/>
        <w:tblInd w:w="0" w:type="dxa"/>
        <w:tblW w:w="14570" w:type="dxa"/>
        <w:tblLook w:val="04A0" w:firstRow="1" w:lastRow="0" w:firstColumn="1" w:lastColumn="0" w:noHBand="0" w:noVBand="1"/>
      </w:tblPr>
      <w:tblGrid>
        <w:gridCol w:w="7723"/>
        <w:gridCol w:w="1080"/>
        <w:gridCol w:w="1079"/>
        <w:gridCol w:w="1158"/>
        <w:gridCol w:w="1004"/>
        <w:gridCol w:w="1201"/>
        <w:gridCol w:w="1325"/>
      </w:tblGrid>
      <w:tr>
        <w:trPr>
          <w:tblHeader w:val="0"/>
          <w:cantSplit w:val="0"/>
          <w:trHeight w:val="0" w:hRule="auto"/>
        </w:trPr>
        <w:tc>
          <w:tcPr>
            <w:tcW w:w="7723" w:type="dxa"/>
            <w:vMerge w:val="restart"/>
            <w:vAlign w:val="center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spacing/>
              <w:jc w:val="center"/>
              <w:widowControl w:val="0"/>
              <w:rPr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мероприятия (результата) / источник финансового обеспечения</w:t>
            </w:r>
            <w:r>
              <w:rPr>
                <w:color w:val="000000"/>
              </w:rPr>
            </w:r>
          </w:p>
        </w:tc>
        <w:tc>
          <w:tcPr>
            <w:tcW w:w="6847" w:type="dxa"/>
            <w:gridSpan w:val="6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spacing/>
              <w:jc w:val="center"/>
              <w:widowControl w:val="0"/>
              <w:rPr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Объем финансового обеспечения по годам реализации, тыс. рублей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/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2026 г</w:t>
            </w:r>
            <w:r>
              <w:rPr>
                <w:color w:val="000000"/>
              </w:rPr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2027 г</w:t>
            </w:r>
            <w:r>
              <w:rPr>
                <w:color w:val="000000"/>
              </w:rPr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2028 г</w:t>
            </w:r>
            <w:r>
              <w:rPr>
                <w:color w:val="000000"/>
              </w:rPr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2029 г</w:t>
            </w:r>
            <w:r>
              <w:rPr>
                <w:color w:val="000000"/>
              </w:rPr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2030 г</w:t>
            </w:r>
            <w:r>
              <w:rPr>
                <w:color w:val="000000"/>
              </w:rPr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center"/>
              <w:widowControl w:val="0"/>
              <w:rPr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left"/>
              <w:widowControl w:val="0"/>
              <w:rPr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i/>
                <w:iCs/>
                <w:color w:val="000000"/>
                <w:sz w:val="22"/>
                <w:szCs w:val="22"/>
                <w:lang w:eastAsia="zh-cn"/>
              </w:rPr>
              <w:t xml:space="preserve">1. </w:t>
            </w:r>
            <w:r>
              <w:rPr>
                <w:bCs/>
                <w:color w:val="000000"/>
                <w:sz w:val="22"/>
                <w:szCs w:val="22"/>
              </w:rPr>
              <w:t xml:space="preserve">Комплекс процессных мероприятий  </w:t>
            </w:r>
            <w:r>
              <w:rPr>
                <w:bCs/>
                <w:color w:val="000000"/>
              </w:rPr>
              <w:t>«Обеспечение жильём молодых семей»</w:t>
            </w:r>
            <w:r>
              <w:rPr>
                <w:bCs/>
                <w:color w:val="000000"/>
                <w:sz w:val="22"/>
                <w:szCs w:val="22"/>
              </w:rPr>
              <w:t xml:space="preserve"> (всего), в том числе: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1 951,9</w:t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694,0</w:t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427,5</w:t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3 073,4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left"/>
              <w:widowControl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259,1</w:t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259,1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left"/>
              <w:widowControl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1 223,9</w:t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1 223,9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468,9</w:t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694,0</w:t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427,5</w:t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1 590,4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7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Задача: «Создание условий для  привлечения молодыми семьями собственных средств, финансовых средств банков и других организаций, предоставляющих ипотечные жилищные кредиты и займы для приобретения жилья и строительства индивидуального жилья»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 Мероприятие «</w:t>
            </w:r>
            <w:r>
              <w:rPr>
                <w:color w:val="000000"/>
              </w:rPr>
              <w:t>Выделение социальной выплаты и привлечение внебюджетных источников</w:t>
            </w:r>
            <w:r>
              <w:rPr>
                <w:color w:val="000000"/>
                <w:sz w:val="22"/>
                <w:szCs w:val="22"/>
              </w:rPr>
              <w:t>»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1 951,9</w:t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694,0</w:t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427,5</w:t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3 073,4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left"/>
              <w:widowControl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259,1</w:t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259,1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0"/>
              <w:spacing/>
              <w:jc w:val="left"/>
              <w:widowControl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1 223,9</w:t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1 223,9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23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pStyle w:val="para13"/>
              <w:ind w:firstLine="0"/>
              <w:spacing/>
              <w:jc w:val="both"/>
              <w:widowControl w:val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080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468,9</w:t>
            </w:r>
          </w:p>
        </w:tc>
        <w:tc>
          <w:tcPr>
            <w:tcW w:w="1079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694,0</w:t>
            </w:r>
          </w:p>
        </w:tc>
        <w:tc>
          <w:tcPr>
            <w:tcW w:w="1158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427,5</w:t>
            </w:r>
          </w:p>
        </w:tc>
        <w:tc>
          <w:tcPr>
            <w:tcW w:w="1004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01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25" w:type="dxa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86086200" protected="0"/>
          </w:tcPr>
          <w:p>
            <w:pPr>
              <w: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1 590,4</w:t>
            </w:r>
          </w:p>
        </w:tc>
      </w:tr>
    </w:tbl>
    <w:p>
      <w:pPr>
        <w:pStyle w:val="para32"/>
        <w:spacing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</w:r>
    </w:p>
    <w:p>
      <w:pPr>
        <w:pStyle w:val="para32"/>
        <w:spacing/>
        <w:jc w:val="right"/>
        <w:rPr>
          <w:rFonts w:ascii="PT Astra Serif" w:hAnsi="PT Astra Serif"/>
          <w:b w:val="0"/>
          <w:color w:val="000000"/>
          <w:sz w:val="24"/>
          <w:szCs w:val="24"/>
        </w:rPr>
      </w:pPr>
      <w:r>
        <w:rPr>
          <w:rFonts w:ascii="PT Astra Serif" w:hAnsi="PT Astra Serif"/>
          <w:b w:val="0"/>
          <w:color w:val="000000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3"/>
      <w:footerReference w:type="default" r:id="rId14"/>
      <w:type w:val="nextPage"/>
      <w:pgSz w:h="11906" w:w="16838" w:orient="landscape"/>
      <w:pgMar w:left="1134" w:top="1134" w:right="1134" w:bottom="1134" w:head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0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  <w:font w:name="PT Astra Serif">
    <w:charset w:val="00"/>
    <w:family w:val="roman"/>
    <w:pitch w:val="default"/>
  </w:font>
  <w:font w:name="Calibri">
    <w:charset w:val="00"/>
    <w:family w:val="roman"/>
    <w:pitch w:val="default"/>
  </w:font>
  <w:font w:name="Noto Sans Devanagari">
    <w:charset w:val="00"/>
    <w:family w:val="roman"/>
    <w:pitch w:val="default"/>
  </w:font>
  <w:font w:name="Courier New"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6"/>
      <w:rPr>
        <w:i/>
        <w:sz w:val="16"/>
        <w:szCs w:val="16"/>
      </w:rPr>
    </w:pPr>
    <w:r>
      <w:rPr>
        <w:i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6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  <w:spacing/>
      <w:jc w:val="center"/>
      <w:rPr>
        <w:sz w:val="28"/>
        <w:szCs w:val="28"/>
      </w:rPr>
    </w:pPr>
    <w:r>
      <w:rPr>
        <w:sz w:val="28"/>
        <w:szCs w:val="28"/>
      </w:rPr>
      <w:fldChar w:fldCharType="begin"/>
      <w:instrText xml:space="preserve"> PAGE </w:instrText>
      <w:fldChar w:fldCharType="separate"/>
      <w:t>2</w:t>
      <w:fldChar w:fldCharType="end"/>
    </w:r>
  </w:p>
  <w:p>
    <w:pPr>
      <w:pStyle w:val="para15"/>
      <w:spacing/>
      <w:jc w:val="center"/>
      <w:rPr>
        <w:sz w:val="28"/>
        <w:szCs w:val="28"/>
      </w:rPr>
    </w:pPr>
    <w:r>
      <w:rPr>
        <w:sz w:val="28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  <w:spacing/>
      <w:jc w:val="center"/>
      <w:tabs defTabSz="708">
        <w:tab w:val="clear" w:pos="4677" w:leader="none"/>
        <w:tab w:val="center" w:pos="7285" w:leader="none"/>
        <w:tab w:val="clear" w:pos="9355" w:leader="none"/>
      </w:tabs>
    </w:pPr>
    <w:r>
      <w:fldChar w:fldCharType="begin"/>
      <w:instrText xml:space="preserve"> PAGE \* Arabic </w:instrText>
      <w:fldChar w:fldCharType="separate"/>
      <w:t>9</w:t>
      <w:fldChar w:fldCharType="end"/>
    </w:r>
  </w:p>
  <w:p>
    <w:pPr>
      <w:pStyle w:val="para15"/>
      <w:spacing/>
      <w:jc w:val="center"/>
      <w:tabs defTabSz="708">
        <w:tab w:val="clear" w:pos="4677" w:leader="none"/>
        <w:tab w:val="center" w:pos="7285" w:leader="none"/>
        <w:tab w:val="clear" w:pos="9355" w:leader="none"/>
      </w:tabs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none"/>
      <w:suff w:val="nothing"/>
      <w:lvlText w:val="%1"/>
      <w:lvlJc w:val="left"/>
      <w:pPr>
        <w:ind w:left="0" w:hanging="0"/>
      </w:pPr>
    </w:lvl>
    <w:lvl w:ilvl="1">
      <w:start w:val="1"/>
      <w:numFmt w:val="none"/>
      <w:pStyle w:val="para3"/>
      <w:suff w:val="nothing"/>
      <w:lvlText w:val="%2"/>
      <w:lvlJc w:val="left"/>
      <w:pPr>
        <w:ind w:left="0" w:hanging="0"/>
      </w:pPr>
    </w:lvl>
    <w:lvl w:ilvl="2">
      <w:start w:val="1"/>
      <w:numFmt w:val="none"/>
      <w:suff w:val="nothing"/>
      <w:lvlText w:val="%3"/>
      <w:lvlJc w:val="left"/>
      <w:pPr>
        <w:ind w:left="0" w:hanging="0"/>
      </w:pPr>
    </w:lvl>
    <w:lvl w:ilvl="3">
      <w:start w:val="1"/>
      <w:numFmt w:val="none"/>
      <w:suff w:val="nothing"/>
      <w:lvlText w:val="%4"/>
      <w:lvlJc w:val="left"/>
      <w:pPr>
        <w:ind w:left="0" w:hanging="0"/>
      </w:pPr>
    </w:lvl>
    <w:lvl w:ilvl="4">
      <w:start w:val="1"/>
      <w:numFmt w:val="none"/>
      <w:suff w:val="nothing"/>
      <w:lvlText w:val="%5"/>
      <w:lvlJc w:val="left"/>
      <w:pPr>
        <w:ind w:left="0" w:hanging="0"/>
      </w:pPr>
    </w:lvl>
    <w:lvl w:ilvl="5">
      <w:start w:val="1"/>
      <w:numFmt w:val="none"/>
      <w:suff w:val="nothing"/>
      <w:lvlText w:val="%6"/>
      <w:lvlJc w:val="left"/>
      <w:pPr>
        <w:ind w:left="0" w:hanging="0"/>
      </w:pPr>
    </w:lvl>
    <w:lvl w:ilvl="6">
      <w:start w:val="1"/>
      <w:numFmt w:val="none"/>
      <w:suff w:val="nothing"/>
      <w:lvlText w:val="%7"/>
      <w:lvlJc w:val="left"/>
      <w:pPr>
        <w:ind w:left="0" w:hanging="0"/>
      </w:pPr>
    </w:lvl>
    <w:lvl w:ilvl="7">
      <w:start w:val="1"/>
      <w:numFmt w:val="none"/>
      <w:suff w:val="nothing"/>
      <w:lvlText w:val="%8"/>
      <w:lvlJc w:val="left"/>
      <w:pPr>
        <w:ind w:left="0" w:hanging="0"/>
      </w:pPr>
    </w:lvl>
    <w:lvl w:ilvl="8">
      <w:start w:val="1"/>
      <w:numFmt w:val="none"/>
      <w:suff w:val="nothing"/>
      <w:lvlText w:val="%9"/>
      <w:lvlJc w:val="left"/>
      <w:pPr>
        <w:ind w:left="0" w:hanging="0"/>
      </w:pPr>
    </w:lvl>
  </w:abstractNum>
  <w:abstractNum w:abstractNumId="2">
    <w:multiLevelType w:val="hybridMultilevel"/>
    <w:name w:val="Нумерованный список 2"/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multiLevelType w:val="hybridMultilevel"/>
    <w:name w:val="Нумерованный список 3"/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4">
    <w:multiLevelType w:val="hybridMultilevel"/>
    <w:name w:val="Нумерованный список 1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5">
    <w:multiLevelType w:val="singleLevel"/>
    <w:name w:val="Bullet 5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7">
    <w:multiLevelType w:val="singleLevel"/>
    <w:name w:val="Bullet 7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8">
    <w:multiLevelType w:val="singleLevel"/>
    <w:name w:val="Bullet 8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9">
    <w:multiLevelType w:val="singleLevel"/>
    <w:name w:val="Bullet 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0">
    <w:multiLevelType w:val="singleLevel"/>
    <w:name w:val="Bullet 10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abstractNum w:abstractNumId="11">
    <w:multiLevelType w:val="singleLevel"/>
    <w:name w:val="Bullet 1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2">
    <w:multiLevelType w:val="singleLevel"/>
    <w:name w:val="Bullet 12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abstractNum w:abstractNumId="13">
    <w:multiLevelType w:val="singleLevel"/>
    <w:name w:val="Bullet 13"/>
    <w:lvl w:ilvl="0">
      <w:start w:val="1"/>
      <w:numFmt w:val="decimalZero"/>
      <w:suff w:val="tab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2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7"/>
    <w:tmLastPosSelect w:val="0"/>
    <w:tmLastPosFrameIdx w:val="0"/>
    <w:tmLastPosCaret>
      <w:tmLastPosPgfIdx w:val="71"/>
      <w:tmLastPosIdx w:val="27"/>
    </w:tmLastPosCaret>
    <w:tmLastPosAnchor>
      <w:tmLastPosPgfIdx w:val="0"/>
      <w:tmLastPosIdx w:val="0"/>
    </w:tmLastPosAnchor>
    <w:tmLastPosTblRect w:left="0" w:top="0" w:right="0" w:bottom="0"/>
  </w:tmLastPos>
  <w:tmAppRevision w:date="1786086200" w:val="1222" w:fileVer="342" w:fileVer64="64" w:fileVerOS="3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  <w:sz w:val="24"/>
      <w:szCs w:val="24"/>
    </w:rPr>
  </w:style>
  <w:style w:type="paragraph" w:styleId="para1">
    <w:name w:val="heading 1"/>
    <w:qFormat/>
    <w:basedOn w:val="para0"/>
    <w:next w:val="para0"/>
    <w:pPr>
      <w:spacing w:before="240"/>
      <w:keepNext/>
      <w:outlineLvl w:val="0"/>
      <w:keepLines/>
    </w:pPr>
    <w:rPr>
      <w:rFonts w:ascii="Cambria" w:hAnsi="Cambria"/>
      <w:color w:val="365f91"/>
      <w:sz w:val="32"/>
      <w:szCs w:val="32"/>
    </w:rPr>
  </w:style>
  <w:style w:type="paragraph" w:styleId="para2">
    <w:name w:val="Title"/>
    <w:qFormat/>
    <w:basedOn w:val="para0"/>
    <w:next w:val="para6"/>
    <w:pPr>
      <w:spacing/>
      <w:jc w:val="center"/>
    </w:pPr>
    <w:rPr>
      <w:b/>
      <w:bCs/>
      <w:color w:val="000000"/>
      <w:szCs w:val="20"/>
    </w:rPr>
  </w:style>
  <w:style w:type="paragraph" w:styleId="para3">
    <w:name w:val="heading 2"/>
    <w:qFormat/>
    <w:basedOn w:val="para2"/>
    <w:next w:val="para6"/>
    <w:pPr>
      <w:numPr>
        <w:ilvl w:val="1"/>
        <w:numId w:val="1"/>
      </w:numPr>
      <w:ind w:left="0" w:firstLine="0"/>
      <w:spacing w:before="200" w:after="120"/>
      <w:outlineLvl w:val="1"/>
    </w:pPr>
    <w:rPr>
      <w:sz w:val="32"/>
      <w:szCs w:val="32"/>
    </w:rPr>
  </w:style>
  <w:style w:type="paragraph" w:styleId="para4">
    <w:name w:val="heading 3"/>
    <w:qFormat/>
    <w:basedOn w:val="para0"/>
    <w:next w:val="para0"/>
    <w:pPr>
      <w:spacing/>
      <w:jc w:val="center"/>
      <w:keepNext/>
      <w:outlineLvl w:val="2"/>
    </w:pPr>
    <w:rPr>
      <w:b/>
      <w:sz w:val="28"/>
      <w:szCs w:val="20"/>
    </w:rPr>
  </w:style>
  <w:style w:type="paragraph" w:styleId="para5" w:customStyle="1">
    <w:name w:val="Заголовок"/>
    <w:qFormat/>
    <w:basedOn w:val="para0"/>
    <w:next w:val="para6"/>
    <w:pPr>
      <w:spacing w:before="240" w:after="120"/>
      <w:keepNext/>
    </w:pPr>
    <w:rPr>
      <w:rFonts w:ascii="PT Astra Serif" w:hAnsi="PT Astra Serif" w:eastAsia="Tahoma" w:cs="Noto Sans Devanagari"/>
      <w:sz w:val="28"/>
      <w:szCs w:val="28"/>
    </w:rPr>
  </w:style>
  <w:style w:type="paragraph" w:styleId="para6">
    <w:name w:val="Body Text"/>
    <w:qFormat/>
    <w:basedOn w:val="para0"/>
    <w:pPr>
      <w:spacing/>
      <w:jc w:val="both"/>
    </w:pPr>
    <w:rPr>
      <w:sz w:val="28"/>
      <w:szCs w:val="20"/>
    </w:rPr>
  </w:style>
  <w:style w:type="paragraph" w:styleId="para7">
    <w:name w:val="List"/>
    <w:qFormat/>
    <w:basedOn w:val="para6"/>
    <w:rPr>
      <w:rFonts w:ascii="PT Astra Serif" w:hAnsi="PT Astra Serif" w:cs="Noto Sans Devanagari"/>
    </w:rPr>
  </w:style>
  <w:style w:type="paragraph" w:styleId="para8">
    <w:name w:val="caption"/>
    <w:qFormat/>
    <w:basedOn w:val="para0"/>
    <w:pPr>
      <w:spacing w:before="120" w:after="120"/>
      <w:suppressLineNumbers/>
    </w:pPr>
    <w:rPr>
      <w:rFonts w:ascii="PT Astra Serif" w:hAnsi="PT Astra Serif" w:cs="Noto Sans Devanagari"/>
      <w:i/>
      <w:iCs/>
    </w:rPr>
  </w:style>
  <w:style w:type="paragraph" w:styleId="para9">
    <w:name w:val="Index Heading"/>
    <w:qFormat/>
    <w:basedOn w:val="para0"/>
    <w:pPr>
      <w:suppressLineNumbers/>
    </w:pPr>
    <w:rPr>
      <w:rFonts w:ascii="PT Astra Serif" w:hAnsi="PT Astra Serif" w:cs="Noto Sans Devanagari"/>
    </w:rPr>
  </w:style>
  <w:style w:type="paragraph" w:styleId="para10" w:customStyle="1">
    <w:name w:val="caption"/>
    <w:qFormat/>
    <w:basedOn w:val="para0"/>
    <w:pPr>
      <w:spacing w:before="120" w:after="120"/>
      <w:suppressLineNumbers/>
    </w:pPr>
    <w:rPr>
      <w:rFonts w:ascii="PT Astra Serif" w:hAnsi="PT Astra Serif" w:cs="Noto Sans Devanagari"/>
      <w:i/>
      <w:iCs/>
    </w:rPr>
  </w:style>
  <w:style w:type="paragraph" w:styleId="para11" w:customStyle="1">
    <w:name w:val="index heading"/>
    <w:qFormat/>
    <w:basedOn w:val="para0"/>
    <w:pPr>
      <w:suppressLineNumbers/>
    </w:pPr>
    <w:rPr>
      <w:rFonts w:ascii="PT Astra Serif" w:hAnsi="PT Astra Serif" w:cs="Noto Sans Devanagari"/>
    </w:rPr>
  </w:style>
  <w:style w:type="paragraph" w:styleId="para12" w:customStyle="1">
    <w:name w:val="Заголовок1"/>
    <w:qFormat/>
    <w:basedOn w:val="para0"/>
    <w:next w:val="para6"/>
    <w:pPr>
      <w:spacing w:before="240" w:after="120"/>
      <w:keepNext/>
    </w:pPr>
    <w:rPr>
      <w:rFonts w:ascii="PT Astra Serif" w:hAnsi="PT Astra Serif" w:eastAsia="Tahoma" w:cs="Noto Sans Devanagari"/>
      <w:sz w:val="28"/>
      <w:szCs w:val="28"/>
    </w:rPr>
  </w:style>
  <w:style w:type="paragraph" w:styleId="para13" w:customStyle="1">
    <w:name w:val="ConsPlusNormal"/>
    <w:qFormat/>
    <w:pPr>
      <w:ind w:firstLine="720"/>
      <w:widowControl w:val="0"/>
    </w:pPr>
    <w:rPr>
      <w:rFonts w:ascii="Arial" w:hAnsi="Arial" w:eastAsia="Times New Roman" w:cs="Arial"/>
      <w:kern w:val="1"/>
      <w:lang w:val="ru-ru" w:eastAsia="ru-ru" w:bidi="ar-sa"/>
    </w:rPr>
  </w:style>
  <w:style w:type="paragraph" w:styleId="para14" w:customStyle="1">
    <w:name w:val="Колонтитул"/>
    <w:qFormat/>
    <w:basedOn w:val="para0"/>
  </w:style>
  <w:style w:type="paragraph" w:styleId="para15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16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17" w:customStyle="1">
    <w:name w:val="Основной текст1"/>
    <w:qFormat/>
    <w:basedOn w:val="para0"/>
    <w:pPr>
      <w:spacing w:before="600" w:after="480" w:line="486" w:lineRule="exact"/>
      <w:jc w:val="both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</w:style>
  <w:style w:type="paragraph" w:styleId="para18" w:customStyle="1">
    <w:name w:val="ConsPlusCell"/>
    <w:qFormat/>
    <w:rPr>
      <w:rFonts w:ascii="Arial" w:hAnsi="Arial" w:eastAsia="Times New Roman" w:cs="Arial"/>
      <w:kern w:val="1"/>
      <w:lang w:val="ru-ru" w:eastAsia="ru-ru" w:bidi="ar-sa"/>
    </w:rPr>
  </w:style>
  <w:style w:type="paragraph" w:styleId="para19">
    <w:name w:val="Balloon Text"/>
    <w:qFormat/>
    <w:basedOn w:val="para0"/>
    <w:rPr>
      <w:rFonts w:ascii="Tahoma" w:hAnsi="Tahoma"/>
      <w:sz w:val="16"/>
      <w:szCs w:val="16"/>
    </w:rPr>
  </w:style>
  <w:style w:type="paragraph" w:styleId="para20">
    <w:name w:val="List Paragraph"/>
    <w:qFormat/>
    <w:basedOn w:val="para0"/>
    <w:pPr>
      <w:spacing w:before="280" w:after="280"/>
    </w:pPr>
  </w:style>
  <w:style w:type="paragraph" w:styleId="para21" w:customStyle="1">
    <w:name w:val="consplusnormal"/>
    <w:qFormat/>
    <w:basedOn w:val="para0"/>
    <w:pPr>
      <w:spacing w:before="280" w:after="280"/>
    </w:pPr>
  </w:style>
  <w:style w:type="paragraph" w:styleId="para22" w:customStyle="1">
    <w:name w:val="a0"/>
    <w:qFormat/>
    <w:basedOn w:val="para0"/>
    <w:pPr>
      <w:spacing w:before="280" w:after="280"/>
    </w:pPr>
  </w:style>
  <w:style w:type="paragraph" w:styleId="para23" w:customStyle="1">
    <w:name w:val="Знак Знак Знак Знак Знак Знак Знак4"/>
    <w:qFormat/>
    <w:basedOn w:val="para0"/>
    <w:pPr>
      <w:spacing w:before="280" w:after="280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para24" w:customStyle="1">
    <w:name w:val="conspluscell"/>
    <w:qFormat/>
    <w:basedOn w:val="para0"/>
    <w:pPr>
      <w:spacing w:before="280" w:after="280"/>
    </w:pPr>
  </w:style>
  <w:style w:type="paragraph" w:styleId="para25">
    <w:name w:val="Plain Text"/>
    <w:qFormat/>
    <w:basedOn w:val="para0"/>
    <w:pPr>
      <w:spacing w:before="280" w:after="280"/>
    </w:pPr>
  </w:style>
  <w:style w:type="paragraph" w:styleId="para26">
    <w:name w:val="Normal (Web)"/>
    <w:qFormat/>
    <w:basedOn w:val="para0"/>
    <w:pPr>
      <w:spacing w:before="280" w:after="280"/>
    </w:pPr>
  </w:style>
  <w:style w:type="paragraph" w:styleId="para27" w:customStyle="1">
    <w:name w:val="annotation text"/>
    <w:qFormat/>
    <w:basedOn w:val="para0"/>
    <w:rPr>
      <w:sz w:val="20"/>
      <w:szCs w:val="20"/>
    </w:rPr>
  </w:style>
  <w:style w:type="paragraph" w:styleId="para28" w:customStyle="1">
    <w:name w:val="annotation subject"/>
    <w:qFormat/>
    <w:basedOn w:val="para27"/>
    <w:next w:val="para27"/>
    <w:rPr>
      <w:b/>
      <w:bCs/>
    </w:rPr>
  </w:style>
  <w:style w:type="paragraph" w:styleId="para29" w:customStyle="1">
    <w:name w:val="Содержимое таблицы"/>
    <w:qFormat/>
    <w:basedOn w:val="para0"/>
    <w:pPr>
      <w:suppressLineNumbers/>
      <w:widowControl w:val="0"/>
    </w:pPr>
  </w:style>
  <w:style w:type="paragraph" w:styleId="para30" w:customStyle="1">
    <w:name w:val="Заголовок таблицы"/>
    <w:qFormat/>
    <w:basedOn w:val="para29"/>
    <w:pPr>
      <w:spacing/>
      <w:jc w:val="center"/>
    </w:pPr>
    <w:rPr>
      <w:b/>
      <w:bCs/>
    </w:rPr>
  </w:style>
  <w:style w:type="paragraph" w:styleId="para31" w:customStyle="1">
    <w:name w:val="Основной текст (4)"/>
    <w:qFormat/>
    <w:basedOn w:val="para0"/>
    <w:pPr>
      <w:spacing w:before="60" w:after="200" w:line="20" w:lineRule="atLeast"/>
      <w:jc w:val="center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FFFF" tmshd="1677721856, 0, 16777215"/>
    </w:pPr>
    <w:rPr>
      <w:spacing w:val="-10" w:percent="92"/>
      <w:sz w:val="28"/>
      <w:szCs w:val="28"/>
      <w:lang w:eastAsia="en-us"/>
    </w:rPr>
  </w:style>
  <w:style w:type="paragraph" w:styleId="para32" w:customStyle="1">
    <w:name w:val="ConsPlusTitle"/>
    <w:qFormat/>
    <w:pPr>
      <w:widowControl w:val="0"/>
    </w:pPr>
    <w:rPr>
      <w:rFonts w:ascii="Calibri" w:hAnsi="Calibri" w:eastAsia="Times New Roman" w:cs="Calibri"/>
      <w:b/>
      <w:kern w:val="1"/>
      <w:lang w:val="ru-ru" w:eastAsia="ru-ru" w:bidi="ar-sa"/>
    </w:rPr>
  </w:style>
  <w:style w:type="paragraph" w:styleId="para33" w:customStyle="1">
    <w:name w:val="Основной текст (6)"/>
    <w:qFormat/>
    <w:basedOn w:val="para0"/>
    <w:pPr>
      <w:spacing w:line="322" w:lineRule="exact"/>
      <w:jc w:val="center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FFFF" tmshd="1677721856, 0, 16777215"/>
    </w:pPr>
    <w:rPr>
      <w:b/>
      <w:bCs/>
      <w:sz w:val="28"/>
      <w:szCs w:val="28"/>
      <w:lang w:eastAsia="en-us"/>
    </w:rPr>
  </w:style>
  <w:style w:type="paragraph" w:styleId="para34" w:customStyle="1">
    <w:name w:val="Основной текст 31"/>
    <w:qFormat/>
    <w:basedOn w:val="para0"/>
    <w:pPr>
      <w:spacing/>
      <w:jc w:val="center"/>
    </w:pPr>
    <w:rPr>
      <w:b/>
      <w:bCs/>
      <w:sz w:val="28"/>
    </w:rPr>
  </w:style>
  <w:style w:type="paragraph" w:styleId="para35" w:customStyle="1">
    <w:name w:val="Table Paragraph"/>
    <w:qFormat/>
    <w:basedOn w:val="para0"/>
    <w:pPr>
      <w:widowControl w:val="0"/>
    </w:pPr>
    <w:rPr>
      <w:lang w:eastAsia="zh-cn"/>
    </w:rPr>
  </w:style>
  <w:style w:type="paragraph" w:styleId="para36">
    <w:name w:val="No Spacing"/>
    <w:qFormat/>
    <w:rPr>
      <w:rFonts w:ascii="Calibri" w:hAnsi="Calibri" w:eastAsia="Times New Roman" w:cs="Times New Roman"/>
      <w:color w:val="000000"/>
      <w:kern w:val="1"/>
      <w:sz w:val="22"/>
      <w:lang w:val="ru-ru" w:eastAsia="ru-ru" w:bidi="ar-sa"/>
    </w:rPr>
  </w:style>
  <w:style w:type="paragraph" w:styleId="para37" w:customStyle="1">
    <w:name w:val="ConsPlusNormal1"/>
    <w:qFormat/>
    <w:pPr>
      <w:ind w:firstLine="720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Arial" w:hAnsi="Arial" w:eastAsia="Tahoma" w:cs="Noto Sans Devanagari"/>
      <w:color w:val="000000"/>
      <w:lang w:val="ru-ru" w:eastAsia="zh-cn" w:bidi="hi-in"/>
    </w:rPr>
  </w:style>
  <w:style w:type="paragraph" w:styleId="para38" w:customStyle="1">
    <w:name w:val="Standard"/>
    <w:qFormat/>
    <w:basedOn w:val="para0"/>
    <w:pPr>
      <w:spacing/>
      <w:jc w:val="center"/>
      <w:widowControl w:val="0"/>
      <w:tabs defTabSz="709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PT Astra Serif" w:hAnsi="PT Astra Serif" w:eastAsia="PT Astra Serif" w:cs="PT Astra Serif"/>
      <w:sz w:val="28"/>
      <w:position w:val="0"/>
    </w:rPr>
  </w:style>
  <w:style w:type="paragraph" w:styleId="para39" w:customStyle="1">
    <w:name w:val="ConsPlusNonformat"/>
    <w:qFormat/>
    <w:pPr>
      <w:hyphenationLines w:val="1"/>
      <w:widowControl w:val="0"/>
    </w:pPr>
    <w:rPr>
      <w:rFonts w:ascii="Courier New" w:hAnsi="Courier New" w:eastAsia="Times New Roman" w:cs="Courier New"/>
      <w:sz w:val="22"/>
      <w:szCs w:val="22"/>
      <w:lang w:val="ru-ru" w:eastAsia="ru-ru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 w:customStyle="1">
    <w:name w:val="Заголовок 3 Знак"/>
    <w:rPr>
      <w:b/>
      <w:sz w:val="28"/>
    </w:rPr>
  </w:style>
  <w:style w:type="character" w:styleId="char3" w:customStyle="1">
    <w:name w:val="Основной текст_"/>
    <w:rPr>
      <w:sz w:val="28"/>
      <w:szCs w:val="28"/>
      <w:shd w:val="clear" w:fill="ffffff"/>
    </w:rPr>
  </w:style>
  <w:style w:type="character" w:styleId="char4" w:customStyle="1">
    <w:name w:val="Верхний колонтитул Знак"/>
    <w:rPr>
      <w:sz w:val="24"/>
      <w:szCs w:val="24"/>
    </w:rPr>
  </w:style>
  <w:style w:type="character" w:styleId="char5" w:customStyle="1">
    <w:name w:val="Основной текст Знак"/>
    <w:rPr>
      <w:sz w:val="28"/>
    </w:rPr>
  </w:style>
  <w:style w:type="character" w:styleId="char6" w:customStyle="1">
    <w:name w:val="Текст выноски Знак"/>
    <w:rPr>
      <w:rFonts w:ascii="Tahoma" w:hAnsi="Tahoma" w:cs="Tahoma"/>
      <w:sz w:val="16"/>
      <w:szCs w:val="16"/>
    </w:rPr>
  </w:style>
  <w:style w:type="character" w:styleId="char7">
    <w:name w:val="Strong"/>
    <w:rPr>
      <w:b/>
      <w:bCs/>
    </w:rPr>
  </w:style>
  <w:style w:type="character" w:styleId="char8" w:customStyle="1">
    <w:name w:val="Текст Знак"/>
    <w:rPr>
      <w:sz w:val="24"/>
      <w:szCs w:val="24"/>
    </w:rPr>
  </w:style>
  <w:style w:type="character" w:styleId="char9" w:customStyle="1">
    <w:name w:val="Нижний колонтитул Знак"/>
    <w:basedOn w:val="char0"/>
    <w:rPr>
      <w:sz w:val="24"/>
      <w:szCs w:val="24"/>
    </w:rPr>
  </w:style>
  <w:style w:type="character" w:styleId="char10" w:customStyle="1">
    <w:name w:val="Заголовок 1 Знак"/>
    <w:basedOn w:val="char0"/>
    <w:rPr>
      <w:rFonts w:ascii="Cambria" w:hAnsi="Cambria" w:eastAsia="Times New Roman" w:cs="Times New Roman"/>
      <w:color w:val="365f91"/>
      <w:sz w:val="32"/>
      <w:szCs w:val="32"/>
    </w:rPr>
  </w:style>
  <w:style w:type="character" w:styleId="char11" w:customStyle="1">
    <w:name w:val="spelle"/>
    <w:basedOn w:val="char0"/>
  </w:style>
  <w:style w:type="character" w:styleId="char12" w:customStyle="1">
    <w:name w:val="grame"/>
    <w:basedOn w:val="char0"/>
  </w:style>
  <w:style w:type="character" w:styleId="char13" w:customStyle="1">
    <w:name w:val="ConsPlusNormal Знак"/>
    <w:rPr>
      <w:rFonts w:ascii="Arial" w:hAnsi="Arial" w:cs="Arial"/>
    </w:rPr>
  </w:style>
  <w:style w:type="character" w:styleId="char14" w:customStyle="1">
    <w:name w:val="Заголовок Знак"/>
    <w:basedOn w:val="char0"/>
    <w:rPr>
      <w:b/>
      <w:bCs/>
      <w:color w:val="000000"/>
      <w:sz w:val="24"/>
      <w:noProof w:val="1"/>
    </w:rPr>
  </w:style>
  <w:style w:type="character" w:styleId="char15" w:customStyle="1">
    <w:name w:val="annotation reference"/>
    <w:basedOn w:val="char0"/>
    <w:rPr>
      <w:sz w:val="16"/>
      <w:szCs w:val="16"/>
    </w:rPr>
  </w:style>
  <w:style w:type="character" w:styleId="char16" w:customStyle="1">
    <w:name w:val="Текст примечания Знак"/>
    <w:basedOn w:val="char0"/>
  </w:style>
  <w:style w:type="character" w:styleId="char17" w:customStyle="1">
    <w:name w:val="Тема примечания Знак"/>
    <w:basedOn w:val="char16"/>
    <w:rPr>
      <w:b/>
      <w:bCs/>
    </w:rPr>
  </w:style>
  <w:style w:type="character" w:styleId="char18" w:customStyle="1">
    <w:name w:val="Основной шрифт абзаца1"/>
  </w:style>
  <w:style w:type="character" w:styleId="char19" w:customStyle="1">
    <w:name w:val="Подпись к таблице Exact"/>
    <w:basedOn w:val="char0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dstrike w:val="0"/>
      <w:sz w:val="28"/>
      <w:szCs w:val="28"/>
      <w:u w:color="auto" w:val="none"/>
    </w:rPr>
  </w:style>
  <w:style w:type="character" w:styleId="char20">
    <w:name w:val="FollowedHyperlink"/>
    <w:rPr>
      <w:color w:val="800000"/>
      <w:u w:color="auto" w:val="single"/>
    </w:rPr>
  </w:style>
  <w:style w:type="character" w:styleId="char21" w:customStyle="1">
    <w:name w:val="Цветовое выделение для Нормальный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  <w:sz w:val="24"/>
      <w:szCs w:val="24"/>
    </w:rPr>
  </w:style>
  <w:style w:type="paragraph" w:styleId="para1">
    <w:name w:val="heading 1"/>
    <w:qFormat/>
    <w:basedOn w:val="para0"/>
    <w:next w:val="para0"/>
    <w:pPr>
      <w:spacing w:before="240"/>
      <w:keepNext/>
      <w:outlineLvl w:val="0"/>
      <w:keepLines/>
    </w:pPr>
    <w:rPr>
      <w:rFonts w:ascii="Cambria" w:hAnsi="Cambria"/>
      <w:color w:val="365f91"/>
      <w:sz w:val="32"/>
      <w:szCs w:val="32"/>
    </w:rPr>
  </w:style>
  <w:style w:type="paragraph" w:styleId="para2">
    <w:name w:val="Title"/>
    <w:qFormat/>
    <w:basedOn w:val="para0"/>
    <w:next w:val="para6"/>
    <w:pPr>
      <w:spacing/>
      <w:jc w:val="center"/>
    </w:pPr>
    <w:rPr>
      <w:b/>
      <w:bCs/>
      <w:color w:val="000000"/>
      <w:szCs w:val="20"/>
    </w:rPr>
  </w:style>
  <w:style w:type="paragraph" w:styleId="para3">
    <w:name w:val="heading 2"/>
    <w:qFormat/>
    <w:basedOn w:val="para2"/>
    <w:next w:val="para6"/>
    <w:pPr>
      <w:numPr>
        <w:ilvl w:val="1"/>
        <w:numId w:val="1"/>
      </w:numPr>
      <w:ind w:left="0" w:firstLine="0"/>
      <w:spacing w:before="200" w:after="120"/>
      <w:outlineLvl w:val="1"/>
    </w:pPr>
    <w:rPr>
      <w:sz w:val="32"/>
      <w:szCs w:val="32"/>
    </w:rPr>
  </w:style>
  <w:style w:type="paragraph" w:styleId="para4">
    <w:name w:val="heading 3"/>
    <w:qFormat/>
    <w:basedOn w:val="para0"/>
    <w:next w:val="para0"/>
    <w:pPr>
      <w:spacing/>
      <w:jc w:val="center"/>
      <w:keepNext/>
      <w:outlineLvl w:val="2"/>
    </w:pPr>
    <w:rPr>
      <w:b/>
      <w:sz w:val="28"/>
      <w:szCs w:val="20"/>
    </w:rPr>
  </w:style>
  <w:style w:type="paragraph" w:styleId="para5" w:customStyle="1">
    <w:name w:val="Заголовок"/>
    <w:qFormat/>
    <w:basedOn w:val="para0"/>
    <w:next w:val="para6"/>
    <w:pPr>
      <w:spacing w:before="240" w:after="120"/>
      <w:keepNext/>
    </w:pPr>
    <w:rPr>
      <w:rFonts w:ascii="PT Astra Serif" w:hAnsi="PT Astra Serif" w:eastAsia="Tahoma" w:cs="Noto Sans Devanagari"/>
      <w:sz w:val="28"/>
      <w:szCs w:val="28"/>
    </w:rPr>
  </w:style>
  <w:style w:type="paragraph" w:styleId="para6">
    <w:name w:val="Body Text"/>
    <w:qFormat/>
    <w:basedOn w:val="para0"/>
    <w:pPr>
      <w:spacing/>
      <w:jc w:val="both"/>
    </w:pPr>
    <w:rPr>
      <w:sz w:val="28"/>
      <w:szCs w:val="20"/>
    </w:rPr>
  </w:style>
  <w:style w:type="paragraph" w:styleId="para7">
    <w:name w:val="List"/>
    <w:qFormat/>
    <w:basedOn w:val="para6"/>
    <w:rPr>
      <w:rFonts w:ascii="PT Astra Serif" w:hAnsi="PT Astra Serif" w:cs="Noto Sans Devanagari"/>
    </w:rPr>
  </w:style>
  <w:style w:type="paragraph" w:styleId="para8">
    <w:name w:val="caption"/>
    <w:qFormat/>
    <w:basedOn w:val="para0"/>
    <w:pPr>
      <w:spacing w:before="120" w:after="120"/>
      <w:suppressLineNumbers/>
    </w:pPr>
    <w:rPr>
      <w:rFonts w:ascii="PT Astra Serif" w:hAnsi="PT Astra Serif" w:cs="Noto Sans Devanagari"/>
      <w:i/>
      <w:iCs/>
    </w:rPr>
  </w:style>
  <w:style w:type="paragraph" w:styleId="para9">
    <w:name w:val="Index Heading"/>
    <w:qFormat/>
    <w:basedOn w:val="para0"/>
    <w:pPr>
      <w:suppressLineNumbers/>
    </w:pPr>
    <w:rPr>
      <w:rFonts w:ascii="PT Astra Serif" w:hAnsi="PT Astra Serif" w:cs="Noto Sans Devanagari"/>
    </w:rPr>
  </w:style>
  <w:style w:type="paragraph" w:styleId="para10" w:customStyle="1">
    <w:name w:val="caption"/>
    <w:qFormat/>
    <w:basedOn w:val="para0"/>
    <w:pPr>
      <w:spacing w:before="120" w:after="120"/>
      <w:suppressLineNumbers/>
    </w:pPr>
    <w:rPr>
      <w:rFonts w:ascii="PT Astra Serif" w:hAnsi="PT Astra Serif" w:cs="Noto Sans Devanagari"/>
      <w:i/>
      <w:iCs/>
    </w:rPr>
  </w:style>
  <w:style w:type="paragraph" w:styleId="para11" w:customStyle="1">
    <w:name w:val="index heading"/>
    <w:qFormat/>
    <w:basedOn w:val="para0"/>
    <w:pPr>
      <w:suppressLineNumbers/>
    </w:pPr>
    <w:rPr>
      <w:rFonts w:ascii="PT Astra Serif" w:hAnsi="PT Astra Serif" w:cs="Noto Sans Devanagari"/>
    </w:rPr>
  </w:style>
  <w:style w:type="paragraph" w:styleId="para12" w:customStyle="1">
    <w:name w:val="Заголовок1"/>
    <w:qFormat/>
    <w:basedOn w:val="para0"/>
    <w:next w:val="para6"/>
    <w:pPr>
      <w:spacing w:before="240" w:after="120"/>
      <w:keepNext/>
    </w:pPr>
    <w:rPr>
      <w:rFonts w:ascii="PT Astra Serif" w:hAnsi="PT Astra Serif" w:eastAsia="Tahoma" w:cs="Noto Sans Devanagari"/>
      <w:sz w:val="28"/>
      <w:szCs w:val="28"/>
    </w:rPr>
  </w:style>
  <w:style w:type="paragraph" w:styleId="para13" w:customStyle="1">
    <w:name w:val="ConsPlusNormal"/>
    <w:qFormat/>
    <w:pPr>
      <w:ind w:firstLine="720"/>
      <w:widowControl w:val="0"/>
    </w:pPr>
    <w:rPr>
      <w:rFonts w:ascii="Arial" w:hAnsi="Arial" w:eastAsia="Times New Roman" w:cs="Arial"/>
      <w:kern w:val="1"/>
      <w:lang w:val="ru-ru" w:eastAsia="ru-ru" w:bidi="ar-sa"/>
    </w:rPr>
  </w:style>
  <w:style w:type="paragraph" w:styleId="para14" w:customStyle="1">
    <w:name w:val="Колонтитул"/>
    <w:qFormat/>
    <w:basedOn w:val="para0"/>
  </w:style>
  <w:style w:type="paragraph" w:styleId="para15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16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17" w:customStyle="1">
    <w:name w:val="Основной текст1"/>
    <w:qFormat/>
    <w:basedOn w:val="para0"/>
    <w:pPr>
      <w:spacing w:before="600" w:after="480" w:line="486" w:lineRule="exact"/>
      <w:jc w:val="both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</w:style>
  <w:style w:type="paragraph" w:styleId="para18" w:customStyle="1">
    <w:name w:val="ConsPlusCell"/>
    <w:qFormat/>
    <w:rPr>
      <w:rFonts w:ascii="Arial" w:hAnsi="Arial" w:eastAsia="Times New Roman" w:cs="Arial"/>
      <w:kern w:val="1"/>
      <w:lang w:val="ru-ru" w:eastAsia="ru-ru" w:bidi="ar-sa"/>
    </w:rPr>
  </w:style>
  <w:style w:type="paragraph" w:styleId="para19">
    <w:name w:val="Balloon Text"/>
    <w:qFormat/>
    <w:basedOn w:val="para0"/>
    <w:rPr>
      <w:rFonts w:ascii="Tahoma" w:hAnsi="Tahoma"/>
      <w:sz w:val="16"/>
      <w:szCs w:val="16"/>
    </w:rPr>
  </w:style>
  <w:style w:type="paragraph" w:styleId="para20">
    <w:name w:val="List Paragraph"/>
    <w:qFormat/>
    <w:basedOn w:val="para0"/>
    <w:pPr>
      <w:spacing w:before="280" w:after="280"/>
    </w:pPr>
  </w:style>
  <w:style w:type="paragraph" w:styleId="para21" w:customStyle="1">
    <w:name w:val="consplusnormal"/>
    <w:qFormat/>
    <w:basedOn w:val="para0"/>
    <w:pPr>
      <w:spacing w:before="280" w:after="280"/>
    </w:pPr>
  </w:style>
  <w:style w:type="paragraph" w:styleId="para22" w:customStyle="1">
    <w:name w:val="a0"/>
    <w:qFormat/>
    <w:basedOn w:val="para0"/>
    <w:pPr>
      <w:spacing w:before="280" w:after="280"/>
    </w:pPr>
  </w:style>
  <w:style w:type="paragraph" w:styleId="para23" w:customStyle="1">
    <w:name w:val="Знак Знак Знак Знак Знак Знак Знак4"/>
    <w:qFormat/>
    <w:basedOn w:val="para0"/>
    <w:pPr>
      <w:spacing w:before="280" w:after="280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para24" w:customStyle="1">
    <w:name w:val="conspluscell"/>
    <w:qFormat/>
    <w:basedOn w:val="para0"/>
    <w:pPr>
      <w:spacing w:before="280" w:after="280"/>
    </w:pPr>
  </w:style>
  <w:style w:type="paragraph" w:styleId="para25">
    <w:name w:val="Plain Text"/>
    <w:qFormat/>
    <w:basedOn w:val="para0"/>
    <w:pPr>
      <w:spacing w:before="280" w:after="280"/>
    </w:pPr>
  </w:style>
  <w:style w:type="paragraph" w:styleId="para26">
    <w:name w:val="Normal (Web)"/>
    <w:qFormat/>
    <w:basedOn w:val="para0"/>
    <w:pPr>
      <w:spacing w:before="280" w:after="280"/>
    </w:pPr>
  </w:style>
  <w:style w:type="paragraph" w:styleId="para27" w:customStyle="1">
    <w:name w:val="annotation text"/>
    <w:qFormat/>
    <w:basedOn w:val="para0"/>
    <w:rPr>
      <w:sz w:val="20"/>
      <w:szCs w:val="20"/>
    </w:rPr>
  </w:style>
  <w:style w:type="paragraph" w:styleId="para28" w:customStyle="1">
    <w:name w:val="annotation subject"/>
    <w:qFormat/>
    <w:basedOn w:val="para27"/>
    <w:next w:val="para27"/>
    <w:rPr>
      <w:b/>
      <w:bCs/>
    </w:rPr>
  </w:style>
  <w:style w:type="paragraph" w:styleId="para29" w:customStyle="1">
    <w:name w:val="Содержимое таблицы"/>
    <w:qFormat/>
    <w:basedOn w:val="para0"/>
    <w:pPr>
      <w:suppressLineNumbers/>
      <w:widowControl w:val="0"/>
    </w:pPr>
  </w:style>
  <w:style w:type="paragraph" w:styleId="para30" w:customStyle="1">
    <w:name w:val="Заголовок таблицы"/>
    <w:qFormat/>
    <w:basedOn w:val="para29"/>
    <w:pPr>
      <w:spacing/>
      <w:jc w:val="center"/>
    </w:pPr>
    <w:rPr>
      <w:b/>
      <w:bCs/>
    </w:rPr>
  </w:style>
  <w:style w:type="paragraph" w:styleId="para31" w:customStyle="1">
    <w:name w:val="Основной текст (4)"/>
    <w:qFormat/>
    <w:basedOn w:val="para0"/>
    <w:pPr>
      <w:spacing w:before="60" w:after="200" w:line="20" w:lineRule="atLeast"/>
      <w:jc w:val="center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FFFF" tmshd="1677721856, 0, 16777215"/>
    </w:pPr>
    <w:rPr>
      <w:spacing w:val="-10" w:percent="92"/>
      <w:sz w:val="28"/>
      <w:szCs w:val="28"/>
      <w:lang w:eastAsia="en-us"/>
    </w:rPr>
  </w:style>
  <w:style w:type="paragraph" w:styleId="para32" w:customStyle="1">
    <w:name w:val="ConsPlusTitle"/>
    <w:qFormat/>
    <w:pPr>
      <w:widowControl w:val="0"/>
    </w:pPr>
    <w:rPr>
      <w:rFonts w:ascii="Calibri" w:hAnsi="Calibri" w:eastAsia="Times New Roman" w:cs="Calibri"/>
      <w:b/>
      <w:kern w:val="1"/>
      <w:lang w:val="ru-ru" w:eastAsia="ru-ru" w:bidi="ar-sa"/>
    </w:rPr>
  </w:style>
  <w:style w:type="paragraph" w:styleId="para33" w:customStyle="1">
    <w:name w:val="Основной текст (6)"/>
    <w:qFormat/>
    <w:basedOn w:val="para0"/>
    <w:pPr>
      <w:spacing w:line="322" w:lineRule="exact"/>
      <w:jc w:val="center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FFFF" tmshd="1677721856, 0, 16777215"/>
    </w:pPr>
    <w:rPr>
      <w:b/>
      <w:bCs/>
      <w:sz w:val="28"/>
      <w:szCs w:val="28"/>
      <w:lang w:eastAsia="en-us"/>
    </w:rPr>
  </w:style>
  <w:style w:type="paragraph" w:styleId="para34" w:customStyle="1">
    <w:name w:val="Основной текст 31"/>
    <w:qFormat/>
    <w:basedOn w:val="para0"/>
    <w:pPr>
      <w:spacing/>
      <w:jc w:val="center"/>
    </w:pPr>
    <w:rPr>
      <w:b/>
      <w:bCs/>
      <w:sz w:val="28"/>
    </w:rPr>
  </w:style>
  <w:style w:type="paragraph" w:styleId="para35" w:customStyle="1">
    <w:name w:val="Table Paragraph"/>
    <w:qFormat/>
    <w:basedOn w:val="para0"/>
    <w:pPr>
      <w:widowControl w:val="0"/>
    </w:pPr>
    <w:rPr>
      <w:lang w:eastAsia="zh-cn"/>
    </w:rPr>
  </w:style>
  <w:style w:type="paragraph" w:styleId="para36">
    <w:name w:val="No Spacing"/>
    <w:qFormat/>
    <w:rPr>
      <w:rFonts w:ascii="Calibri" w:hAnsi="Calibri" w:eastAsia="Times New Roman" w:cs="Times New Roman"/>
      <w:color w:val="000000"/>
      <w:kern w:val="1"/>
      <w:sz w:val="22"/>
      <w:lang w:val="ru-ru" w:eastAsia="ru-ru" w:bidi="ar-sa"/>
    </w:rPr>
  </w:style>
  <w:style w:type="paragraph" w:styleId="para37" w:customStyle="1">
    <w:name w:val="ConsPlusNormal1"/>
    <w:qFormat/>
    <w:pPr>
      <w:ind w:firstLine="720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Arial" w:hAnsi="Arial" w:eastAsia="Tahoma" w:cs="Noto Sans Devanagari"/>
      <w:color w:val="000000"/>
      <w:lang w:val="ru-ru" w:eastAsia="zh-cn" w:bidi="hi-in"/>
    </w:rPr>
  </w:style>
  <w:style w:type="paragraph" w:styleId="para38" w:customStyle="1">
    <w:name w:val="Standard"/>
    <w:qFormat/>
    <w:basedOn w:val="para0"/>
    <w:pPr>
      <w:spacing/>
      <w:jc w:val="center"/>
      <w:widowControl w:val="0"/>
      <w:tabs defTabSz="709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PT Astra Serif" w:hAnsi="PT Astra Serif" w:eastAsia="PT Astra Serif" w:cs="PT Astra Serif"/>
      <w:sz w:val="28"/>
      <w:position w:val="0"/>
    </w:rPr>
  </w:style>
  <w:style w:type="paragraph" w:styleId="para39" w:customStyle="1">
    <w:name w:val="ConsPlusNonformat"/>
    <w:qFormat/>
    <w:pPr>
      <w:hyphenationLines w:val="1"/>
      <w:widowControl w:val="0"/>
    </w:pPr>
    <w:rPr>
      <w:rFonts w:ascii="Courier New" w:hAnsi="Courier New" w:eastAsia="Times New Roman" w:cs="Courier New"/>
      <w:sz w:val="22"/>
      <w:szCs w:val="22"/>
      <w:lang w:val="ru-ru" w:eastAsia="ru-ru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 w:customStyle="1">
    <w:name w:val="Заголовок 3 Знак"/>
    <w:rPr>
      <w:b/>
      <w:sz w:val="28"/>
    </w:rPr>
  </w:style>
  <w:style w:type="character" w:styleId="char3" w:customStyle="1">
    <w:name w:val="Основной текст_"/>
    <w:rPr>
      <w:sz w:val="28"/>
      <w:szCs w:val="28"/>
      <w:shd w:val="clear" w:fill="ffffff"/>
    </w:rPr>
  </w:style>
  <w:style w:type="character" w:styleId="char4" w:customStyle="1">
    <w:name w:val="Верхний колонтитул Знак"/>
    <w:rPr>
      <w:sz w:val="24"/>
      <w:szCs w:val="24"/>
    </w:rPr>
  </w:style>
  <w:style w:type="character" w:styleId="char5" w:customStyle="1">
    <w:name w:val="Основной текст Знак"/>
    <w:rPr>
      <w:sz w:val="28"/>
    </w:rPr>
  </w:style>
  <w:style w:type="character" w:styleId="char6" w:customStyle="1">
    <w:name w:val="Текст выноски Знак"/>
    <w:rPr>
      <w:rFonts w:ascii="Tahoma" w:hAnsi="Tahoma" w:cs="Tahoma"/>
      <w:sz w:val="16"/>
      <w:szCs w:val="16"/>
    </w:rPr>
  </w:style>
  <w:style w:type="character" w:styleId="char7">
    <w:name w:val="Strong"/>
    <w:rPr>
      <w:b/>
      <w:bCs/>
    </w:rPr>
  </w:style>
  <w:style w:type="character" w:styleId="char8" w:customStyle="1">
    <w:name w:val="Текст Знак"/>
    <w:rPr>
      <w:sz w:val="24"/>
      <w:szCs w:val="24"/>
    </w:rPr>
  </w:style>
  <w:style w:type="character" w:styleId="char9" w:customStyle="1">
    <w:name w:val="Нижний колонтитул Знак"/>
    <w:basedOn w:val="char0"/>
    <w:rPr>
      <w:sz w:val="24"/>
      <w:szCs w:val="24"/>
    </w:rPr>
  </w:style>
  <w:style w:type="character" w:styleId="char10" w:customStyle="1">
    <w:name w:val="Заголовок 1 Знак"/>
    <w:basedOn w:val="char0"/>
    <w:rPr>
      <w:rFonts w:ascii="Cambria" w:hAnsi="Cambria" w:eastAsia="Times New Roman" w:cs="Times New Roman"/>
      <w:color w:val="365f91"/>
      <w:sz w:val="32"/>
      <w:szCs w:val="32"/>
    </w:rPr>
  </w:style>
  <w:style w:type="character" w:styleId="char11" w:customStyle="1">
    <w:name w:val="spelle"/>
    <w:basedOn w:val="char0"/>
  </w:style>
  <w:style w:type="character" w:styleId="char12" w:customStyle="1">
    <w:name w:val="grame"/>
    <w:basedOn w:val="char0"/>
  </w:style>
  <w:style w:type="character" w:styleId="char13" w:customStyle="1">
    <w:name w:val="ConsPlusNormal Знак"/>
    <w:rPr>
      <w:rFonts w:ascii="Arial" w:hAnsi="Arial" w:cs="Arial"/>
    </w:rPr>
  </w:style>
  <w:style w:type="character" w:styleId="char14" w:customStyle="1">
    <w:name w:val="Заголовок Знак"/>
    <w:basedOn w:val="char0"/>
    <w:rPr>
      <w:b/>
      <w:bCs/>
      <w:color w:val="000000"/>
      <w:sz w:val="24"/>
      <w:noProof w:val="1"/>
    </w:rPr>
  </w:style>
  <w:style w:type="character" w:styleId="char15" w:customStyle="1">
    <w:name w:val="annotation reference"/>
    <w:basedOn w:val="char0"/>
    <w:rPr>
      <w:sz w:val="16"/>
      <w:szCs w:val="16"/>
    </w:rPr>
  </w:style>
  <w:style w:type="character" w:styleId="char16" w:customStyle="1">
    <w:name w:val="Текст примечания Знак"/>
    <w:basedOn w:val="char0"/>
  </w:style>
  <w:style w:type="character" w:styleId="char17" w:customStyle="1">
    <w:name w:val="Тема примечания Знак"/>
    <w:basedOn w:val="char16"/>
    <w:rPr>
      <w:b/>
      <w:bCs/>
    </w:rPr>
  </w:style>
  <w:style w:type="character" w:styleId="char18" w:customStyle="1">
    <w:name w:val="Основной шрифт абзаца1"/>
  </w:style>
  <w:style w:type="character" w:styleId="char19" w:customStyle="1">
    <w:name w:val="Подпись к таблице Exact"/>
    <w:basedOn w:val="char0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dstrike w:val="0"/>
      <w:sz w:val="28"/>
      <w:szCs w:val="28"/>
      <w:u w:color="auto" w:val="none"/>
    </w:rPr>
  </w:style>
  <w:style w:type="character" w:styleId="char20">
    <w:name w:val="FollowedHyperlink"/>
    <w:rPr>
      <w:color w:val="800000"/>
      <w:u w:color="auto" w:val="single"/>
    </w:rPr>
  </w:style>
  <w:style w:type="character" w:styleId="char21" w:customStyle="1">
    <w:name w:val="Цветовое выделение для Нормальный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hyperlink" Target="http://www.anzhero.ru" TargetMode="External"/><Relationship Id="rId10" Type="http://schemas.openxmlformats.org/officeDocument/2006/relationships/image" Target="media/image2.png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header" Target="header2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/>
  <cp:revision>921</cp:revision>
  <cp:lastPrinted>2026-06-30T02:54:56Z</cp:lastPrinted>
  <dcterms:created xsi:type="dcterms:W3CDTF">2022-08-18T04:22:00Z</dcterms:created>
  <dcterms:modified xsi:type="dcterms:W3CDTF">2026-08-07T07:03:20Z</dcterms:modified>
</cp:coreProperties>
</file>